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ED61F4">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72"/>
          <w:szCs w:val="72"/>
          <w:highlight w:val="none"/>
          <w:lang w:val="en-US" w:eastAsia="zh-CN"/>
        </w:rPr>
      </w:pPr>
    </w:p>
    <w:p w14:paraId="2A3D7D98">
      <w:pPr>
        <w:pageBreakBefore w:val="0"/>
        <w:widowControl/>
        <w:shd w:val="clear" w:color="auto" w:fill="FFFFFF"/>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44"/>
          <w:szCs w:val="44"/>
          <w:highlight w:val="none"/>
          <w:lang w:eastAsia="zh-CN"/>
        </w:rPr>
      </w:pPr>
      <w:r>
        <w:rPr>
          <w:rFonts w:hint="eastAsia" w:ascii="宋体" w:hAnsi="宋体" w:eastAsia="宋体" w:cs="宋体"/>
          <w:b w:val="0"/>
          <w:bCs w:val="0"/>
          <w:color w:val="auto"/>
          <w:sz w:val="44"/>
          <w:szCs w:val="44"/>
          <w:highlight w:val="none"/>
          <w:lang w:eastAsia="zh-CN"/>
        </w:rPr>
        <w:t>度假区公共区域环卫保洁和绿化管养服务</w:t>
      </w:r>
    </w:p>
    <w:p w14:paraId="66A02C0D">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72"/>
          <w:szCs w:val="72"/>
          <w:highlight w:val="none"/>
          <w:lang w:val="en-US" w:eastAsia="zh-CN"/>
        </w:rPr>
      </w:pPr>
    </w:p>
    <w:p w14:paraId="698F6FED">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72"/>
          <w:szCs w:val="72"/>
          <w:highlight w:val="none"/>
          <w:lang w:val="en-US" w:eastAsia="zh-CN"/>
        </w:rPr>
      </w:pPr>
      <w:r>
        <w:rPr>
          <w:rFonts w:hint="eastAsia" w:ascii="宋体" w:hAnsi="宋体" w:eastAsia="宋体" w:cs="宋体"/>
          <w:b w:val="0"/>
          <w:bCs w:val="0"/>
          <w:color w:val="auto"/>
          <w:sz w:val="72"/>
          <w:szCs w:val="72"/>
          <w:highlight w:val="none"/>
          <w:lang w:val="en-US" w:eastAsia="zh-CN"/>
        </w:rPr>
        <w:t>竞争性谈判</w:t>
      </w:r>
    </w:p>
    <w:p w14:paraId="1448D772">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36"/>
          <w:szCs w:val="36"/>
          <w:highlight w:val="none"/>
          <w:lang w:eastAsia="zh-CN"/>
        </w:rPr>
      </w:pPr>
      <w:r>
        <w:rPr>
          <w:rFonts w:hint="eastAsia" w:ascii="宋体" w:hAnsi="宋体" w:eastAsia="宋体" w:cs="宋体"/>
          <w:b w:val="0"/>
          <w:bCs w:val="0"/>
          <w:color w:val="auto"/>
          <w:sz w:val="36"/>
          <w:szCs w:val="36"/>
          <w:highlight w:val="none"/>
          <w:lang w:eastAsia="zh-CN"/>
        </w:rPr>
        <w:t>项目编号：JSZC-320111-NJJK-T2025-0023</w:t>
      </w:r>
      <w:r>
        <w:rPr>
          <w:rFonts w:hint="eastAsia" w:ascii="宋体" w:hAnsi="宋体" w:eastAsia="宋体" w:cs="宋体"/>
          <w:b w:val="0"/>
          <w:bCs w:val="0"/>
          <w:color w:val="auto"/>
          <w:sz w:val="36"/>
          <w:szCs w:val="36"/>
          <w:highlight w:val="none"/>
          <w:lang w:val="en-US" w:eastAsia="zh-CN"/>
        </w:rPr>
        <w:t xml:space="preserve"> </w:t>
      </w:r>
      <w:r>
        <w:rPr>
          <w:rFonts w:hint="eastAsia" w:ascii="宋体" w:hAnsi="宋体" w:eastAsia="宋体" w:cs="宋体"/>
          <w:color w:val="auto"/>
          <w:kern w:val="2"/>
          <w:sz w:val="28"/>
          <w:szCs w:val="28"/>
          <w:highlight w:val="none"/>
        </w:rPr>
        <w:t xml:space="preserve"> </w:t>
      </w:r>
      <w:r>
        <w:rPr>
          <w:rFonts w:hint="eastAsia" w:ascii="宋体" w:hAnsi="宋体" w:eastAsia="宋体" w:cs="宋体"/>
          <w:b w:val="0"/>
          <w:bCs w:val="0"/>
          <w:color w:val="auto"/>
          <w:sz w:val="36"/>
          <w:szCs w:val="36"/>
          <w:highlight w:val="none"/>
          <w:lang w:val="en-US" w:eastAsia="zh-CN"/>
        </w:rPr>
        <w:t xml:space="preserve"> </w:t>
      </w:r>
    </w:p>
    <w:p w14:paraId="005074DA">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72"/>
          <w:szCs w:val="72"/>
          <w:highlight w:val="none"/>
        </w:rPr>
      </w:pPr>
    </w:p>
    <w:p w14:paraId="30EE00CB">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72"/>
          <w:szCs w:val="72"/>
          <w:highlight w:val="none"/>
        </w:rPr>
      </w:pPr>
    </w:p>
    <w:p w14:paraId="52E10BE3">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72"/>
          <w:szCs w:val="72"/>
          <w:highlight w:val="none"/>
        </w:rPr>
      </w:pPr>
    </w:p>
    <w:p w14:paraId="4615B5B9">
      <w:pPr>
        <w:pStyle w:val="41"/>
        <w:pageBreakBefore w:val="0"/>
        <w:kinsoku/>
        <w:wordWrap/>
        <w:overflowPunct/>
        <w:topLinePunct w:val="0"/>
        <w:autoSpaceDN/>
        <w:bidi w:val="0"/>
        <w:adjustRightInd/>
        <w:snapToGrid/>
        <w:spacing w:line="360" w:lineRule="auto"/>
        <w:rPr>
          <w:rFonts w:hint="eastAsia" w:ascii="宋体" w:hAnsi="宋体" w:eastAsia="宋体" w:cs="宋体"/>
          <w:b w:val="0"/>
          <w:bCs w:val="0"/>
          <w:color w:val="auto"/>
          <w:sz w:val="72"/>
          <w:szCs w:val="72"/>
          <w:highlight w:val="none"/>
        </w:rPr>
      </w:pPr>
    </w:p>
    <w:p w14:paraId="2F7E989A">
      <w:pPr>
        <w:pStyle w:val="41"/>
        <w:pageBreakBefore w:val="0"/>
        <w:kinsoku/>
        <w:wordWrap/>
        <w:overflowPunct/>
        <w:topLinePunct w:val="0"/>
        <w:autoSpaceDN/>
        <w:bidi w:val="0"/>
        <w:adjustRightInd/>
        <w:snapToGrid/>
        <w:spacing w:line="360" w:lineRule="auto"/>
        <w:rPr>
          <w:rFonts w:hint="eastAsia" w:ascii="宋体" w:hAnsi="宋体" w:eastAsia="宋体" w:cs="宋体"/>
          <w:b w:val="0"/>
          <w:bCs w:val="0"/>
          <w:color w:val="auto"/>
          <w:sz w:val="72"/>
          <w:szCs w:val="72"/>
          <w:highlight w:val="none"/>
        </w:rPr>
      </w:pPr>
    </w:p>
    <w:p w14:paraId="7AB1771D">
      <w:pPr>
        <w:pStyle w:val="198"/>
        <w:pageBreakBefore w:val="0"/>
        <w:kinsoku/>
        <w:wordWrap/>
        <w:overflowPunct/>
        <w:topLinePunct w:val="0"/>
        <w:autoSpaceDN/>
        <w:bidi w:val="0"/>
        <w:adjustRightInd/>
        <w:snapToGrid/>
        <w:spacing w:line="360" w:lineRule="auto"/>
        <w:textAlignment w:val="auto"/>
        <w:rPr>
          <w:rFonts w:hint="eastAsia" w:ascii="宋体" w:hAnsi="宋体" w:eastAsia="宋体" w:cs="宋体"/>
          <w:color w:val="auto"/>
          <w:highlight w:val="none"/>
        </w:rPr>
      </w:pPr>
    </w:p>
    <w:p w14:paraId="3F68C2A0">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rPr>
        <w:t>采购人：</w:t>
      </w:r>
      <w:r>
        <w:rPr>
          <w:rFonts w:hint="eastAsia" w:ascii="宋体" w:hAnsi="宋体" w:eastAsia="宋体" w:cs="宋体"/>
          <w:b w:val="0"/>
          <w:bCs w:val="0"/>
          <w:color w:val="auto"/>
          <w:sz w:val="32"/>
          <w:szCs w:val="32"/>
          <w:highlight w:val="none"/>
          <w:lang w:eastAsia="zh-CN"/>
        </w:rPr>
        <w:t>南京珍珠泉旅游度假区管理办公室</w:t>
      </w:r>
    </w:p>
    <w:p w14:paraId="528A94F5">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rPr>
        <w:t>采购代理机构：</w:t>
      </w:r>
      <w:r>
        <w:rPr>
          <w:rFonts w:hint="eastAsia" w:ascii="宋体" w:hAnsi="宋体" w:eastAsia="宋体" w:cs="宋体"/>
          <w:b w:val="0"/>
          <w:bCs w:val="0"/>
          <w:color w:val="auto"/>
          <w:sz w:val="32"/>
          <w:szCs w:val="32"/>
          <w:highlight w:val="none"/>
          <w:lang w:eastAsia="zh-CN"/>
        </w:rPr>
        <w:t>南京建凯建设项目管理有限公司</w:t>
      </w:r>
    </w:p>
    <w:p w14:paraId="766EB223">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2025年1</w:t>
      </w:r>
      <w:r>
        <w:rPr>
          <w:rFonts w:hint="eastAsia" w:ascii="宋体" w:hAnsi="宋体" w:eastAsia="宋体" w:cs="宋体"/>
          <w:b w:val="0"/>
          <w:bCs w:val="0"/>
          <w:color w:val="auto"/>
          <w:sz w:val="32"/>
          <w:szCs w:val="32"/>
          <w:highlight w:val="none"/>
          <w:lang w:val="en-US" w:eastAsia="zh-CN"/>
        </w:rPr>
        <w:t>1</w:t>
      </w:r>
      <w:r>
        <w:rPr>
          <w:rFonts w:hint="eastAsia" w:ascii="宋体" w:hAnsi="宋体" w:eastAsia="宋体" w:cs="宋体"/>
          <w:b w:val="0"/>
          <w:bCs w:val="0"/>
          <w:color w:val="auto"/>
          <w:sz w:val="32"/>
          <w:szCs w:val="32"/>
          <w:highlight w:val="none"/>
        </w:rPr>
        <w:t>月</w:t>
      </w:r>
    </w:p>
    <w:p w14:paraId="270A86E2">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36"/>
          <w:szCs w:val="36"/>
          <w:highlight w:val="none"/>
          <w:lang w:val="zh-CN"/>
        </w:rPr>
        <w:sectPr>
          <w:footerReference r:id="rId3" w:type="default"/>
          <w:endnotePr>
            <w:numFmt w:val="decimal"/>
          </w:endnotePr>
          <w:pgSz w:w="11906" w:h="16838"/>
          <w:pgMar w:top="850" w:right="850" w:bottom="850" w:left="1418" w:header="227" w:footer="720" w:gutter="0"/>
          <w:cols w:space="720" w:num="1"/>
          <w:docGrid w:linePitch="360" w:charSpace="0"/>
        </w:sectPr>
      </w:pPr>
    </w:p>
    <w:p w14:paraId="0D68696F">
      <w:pPr>
        <w:pageBreakBefore w:val="0"/>
        <w:kinsoku/>
        <w:wordWrap/>
        <w:overflowPunct/>
        <w:topLinePunct w:val="0"/>
        <w:autoSpaceDE/>
        <w:autoSpaceDN/>
        <w:bidi w:val="0"/>
        <w:adjustRightInd/>
        <w:snapToGrid/>
        <w:spacing w:line="360" w:lineRule="auto"/>
        <w:ind w:left="210" w:right="567" w:firstLine="2530"/>
        <w:textAlignment w:val="auto"/>
        <w:outlineLvl w:val="0"/>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第一章 竞争性谈判</w:t>
      </w:r>
      <w:r>
        <w:rPr>
          <w:rFonts w:hint="eastAsia" w:ascii="宋体" w:hAnsi="宋体" w:eastAsia="宋体" w:cs="宋体"/>
          <w:b/>
          <w:bCs/>
          <w:color w:val="auto"/>
          <w:sz w:val="36"/>
          <w:szCs w:val="36"/>
          <w:highlight w:val="none"/>
          <w:lang w:val="en-US" w:eastAsia="zh-CN"/>
        </w:rPr>
        <w:t>公告</w:t>
      </w:r>
      <w:r>
        <w:rPr>
          <w:rFonts w:hint="eastAsia" w:ascii="宋体" w:hAnsi="宋体" w:eastAsia="宋体" w:cs="宋体"/>
          <w:b/>
          <w:bCs/>
          <w:color w:val="auto"/>
          <w:sz w:val="36"/>
          <w:szCs w:val="36"/>
          <w:highlight w:val="none"/>
        </w:rPr>
        <w:t xml:space="preserve"> </w:t>
      </w:r>
    </w:p>
    <w:tbl>
      <w:tblPr>
        <w:tblStyle w:val="29"/>
        <w:tblpPr w:leftFromText="180" w:rightFromText="180" w:vertAnchor="page" w:horzAnchor="page" w:tblpX="1574" w:tblpY="2568"/>
        <w:tblOverlap w:val="never"/>
        <w:tblW w:w="5000" w:type="pct"/>
        <w:tblInd w:w="0" w:type="dxa"/>
        <w:tblBorders>
          <w:top w:val="single" w:color="999999" w:sz="6" w:space="0"/>
          <w:left w:val="single" w:color="999999" w:sz="6" w:space="0"/>
          <w:bottom w:val="outset" w:color="auto" w:sz="6" w:space="0"/>
          <w:right w:val="outset"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9130"/>
      </w:tblGrid>
      <w:tr w14:paraId="27F8BCB9">
        <w:tblPrEx>
          <w:tblBorders>
            <w:top w:val="single" w:color="999999" w:sz="6" w:space="0"/>
            <w:left w:val="single" w:color="999999"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1896" w:hRule="atLeast"/>
        </w:trPr>
        <w:tc>
          <w:tcPr>
            <w:tcW w:w="0" w:type="auto"/>
            <w:tcBorders>
              <w:top w:val="outset" w:color="auto" w:sz="6" w:space="0"/>
              <w:left w:val="outset" w:color="auto" w:sz="6" w:space="0"/>
              <w:bottom w:val="single" w:color="999999" w:sz="6" w:space="0"/>
              <w:right w:val="single" w:color="999999" w:sz="6" w:space="0"/>
            </w:tcBorders>
            <w:shd w:val="clear" w:color="auto" w:fill="auto"/>
            <w:tcMar>
              <w:top w:w="0" w:type="dxa"/>
              <w:left w:w="30" w:type="dxa"/>
              <w:bottom w:w="0" w:type="dxa"/>
              <w:right w:w="30" w:type="dxa"/>
            </w:tcMar>
            <w:vAlign w:val="center"/>
          </w:tcPr>
          <w:p w14:paraId="0B2BDD09">
            <w:pPr>
              <w:pageBreakBefore w:val="0"/>
              <w:kinsoku/>
              <w:wordWrap/>
              <w:overflowPunct/>
              <w:topLinePunct w:val="0"/>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项目概况</w:t>
            </w:r>
          </w:p>
          <w:p w14:paraId="505057D7">
            <w:pPr>
              <w:pageBreakBefore w:val="0"/>
              <w:kinsoku/>
              <w:wordWrap/>
              <w:overflowPunct/>
              <w:topLinePunct w:val="0"/>
              <w:autoSpaceDN/>
              <w:bidi w:val="0"/>
              <w:adjustRightInd/>
              <w:snapToGrid/>
              <w:spacing w:line="360" w:lineRule="auto"/>
              <w:ind w:firstLine="560" w:firstLineChars="20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u w:val="single"/>
                <w:lang w:eastAsia="zh-CN"/>
              </w:rPr>
              <w:t>度假区公共区域环卫保洁和绿化管养服务</w:t>
            </w:r>
            <w:r>
              <w:rPr>
                <w:rFonts w:hint="eastAsia" w:ascii="宋体" w:hAnsi="宋体" w:cs="宋体"/>
                <w:color w:val="auto"/>
                <w:kern w:val="2"/>
                <w:sz w:val="28"/>
                <w:szCs w:val="28"/>
                <w:highlight w:val="none"/>
                <w:u w:val="single"/>
                <w:lang w:eastAsia="zh-CN"/>
              </w:rPr>
              <w:t>（</w:t>
            </w:r>
            <w:r>
              <w:rPr>
                <w:rFonts w:hint="eastAsia" w:ascii="宋体" w:hAnsi="宋体" w:eastAsia="宋体" w:cs="宋体"/>
                <w:color w:val="auto"/>
                <w:kern w:val="2"/>
                <w:sz w:val="28"/>
                <w:szCs w:val="28"/>
                <w:highlight w:val="none"/>
                <w:u w:val="single"/>
                <w:lang w:val="en-US" w:eastAsia="zh-CN"/>
              </w:rPr>
              <w:t>项目编号</w:t>
            </w:r>
            <w:r>
              <w:rPr>
                <w:rFonts w:hint="eastAsia" w:ascii="宋体" w:hAnsi="宋体" w:cs="宋体"/>
                <w:color w:val="auto"/>
                <w:kern w:val="2"/>
                <w:sz w:val="28"/>
                <w:szCs w:val="28"/>
                <w:highlight w:val="none"/>
                <w:u w:val="single"/>
                <w:lang w:val="en-US" w:eastAsia="zh-CN"/>
              </w:rPr>
              <w:t>：</w:t>
            </w:r>
            <w:r>
              <w:rPr>
                <w:rFonts w:hint="eastAsia" w:ascii="宋体" w:hAnsi="宋体" w:eastAsia="宋体" w:cs="宋体"/>
                <w:color w:val="auto"/>
                <w:kern w:val="2"/>
                <w:sz w:val="28"/>
                <w:szCs w:val="28"/>
                <w:highlight w:val="none"/>
                <w:u w:val="single"/>
              </w:rPr>
              <w:t>JSZC-320111-NJJK-T2025-0023</w:t>
            </w:r>
            <w:r>
              <w:rPr>
                <w:rFonts w:hint="eastAsia" w:ascii="宋体" w:hAnsi="宋体" w:cs="宋体"/>
                <w:color w:val="auto"/>
                <w:kern w:val="2"/>
                <w:sz w:val="28"/>
                <w:szCs w:val="28"/>
                <w:highlight w:val="none"/>
                <w:u w:val="single"/>
                <w:lang w:eastAsia="zh-CN"/>
              </w:rPr>
              <w:t>）</w:t>
            </w:r>
            <w:r>
              <w:rPr>
                <w:rFonts w:hint="eastAsia" w:ascii="宋体" w:hAnsi="宋体" w:eastAsia="宋体" w:cs="宋体"/>
                <w:color w:val="auto"/>
                <w:kern w:val="2"/>
                <w:sz w:val="28"/>
                <w:szCs w:val="28"/>
                <w:highlight w:val="none"/>
              </w:rPr>
              <w:t>采购项目的潜在供应商应在“苏采云”网上交易系统 获取采购文件，并于</w:t>
            </w:r>
            <w:r>
              <w:rPr>
                <w:rFonts w:hint="eastAsia" w:ascii="宋体" w:hAnsi="宋体" w:eastAsia="宋体" w:cs="宋体"/>
                <w:color w:val="auto"/>
                <w:kern w:val="2"/>
                <w:sz w:val="28"/>
                <w:szCs w:val="28"/>
                <w:highlight w:val="none"/>
              </w:rPr>
              <w:t>202</w:t>
            </w:r>
            <w:r>
              <w:rPr>
                <w:rFonts w:hint="eastAsia" w:ascii="宋体" w:hAnsi="宋体" w:eastAsia="宋体" w:cs="宋体"/>
                <w:color w:val="auto"/>
                <w:kern w:val="2"/>
                <w:sz w:val="28"/>
                <w:szCs w:val="28"/>
                <w:highlight w:val="none"/>
                <w:lang w:val="en-US" w:eastAsia="zh-CN"/>
              </w:rPr>
              <w:t>5</w:t>
            </w:r>
            <w:r>
              <w:rPr>
                <w:rFonts w:hint="eastAsia" w:ascii="宋体" w:hAnsi="宋体" w:cs="宋体"/>
                <w:color w:val="auto"/>
                <w:kern w:val="2"/>
                <w:sz w:val="28"/>
                <w:szCs w:val="28"/>
                <w:highlight w:val="none"/>
                <w:lang w:val="en-US" w:eastAsia="zh-CN"/>
              </w:rPr>
              <w:t>年12月1日</w:t>
            </w:r>
            <w:r>
              <w:rPr>
                <w:rFonts w:hint="eastAsia" w:ascii="宋体" w:hAnsi="宋体" w:eastAsia="宋体" w:cs="宋体"/>
                <w:color w:val="auto"/>
                <w:kern w:val="2"/>
                <w:sz w:val="28"/>
                <w:szCs w:val="28"/>
                <w:highlight w:val="none"/>
                <w:lang w:val="en-US" w:eastAsia="zh-CN"/>
              </w:rPr>
              <w:t>9</w:t>
            </w:r>
            <w:r>
              <w:rPr>
                <w:rFonts w:hint="eastAsia" w:ascii="宋体" w:hAnsi="宋体" w:eastAsia="宋体" w:cs="宋体"/>
                <w:color w:val="auto"/>
                <w:kern w:val="2"/>
                <w:sz w:val="28"/>
                <w:szCs w:val="28"/>
                <w:highlight w:val="none"/>
              </w:rPr>
              <w:t xml:space="preserve">:00 </w:t>
            </w:r>
            <w:r>
              <w:rPr>
                <w:rFonts w:hint="eastAsia" w:ascii="宋体" w:hAnsi="宋体" w:eastAsia="宋体" w:cs="宋体"/>
                <w:color w:val="auto"/>
                <w:kern w:val="2"/>
                <w:sz w:val="28"/>
                <w:szCs w:val="28"/>
                <w:highlight w:val="none"/>
              </w:rPr>
              <w:t>（北京时间）前提交响应文件。</w:t>
            </w:r>
          </w:p>
        </w:tc>
      </w:tr>
    </w:tbl>
    <w:p w14:paraId="6594E6D9">
      <w:pPr>
        <w:pageBreakBefore w:val="0"/>
        <w:kinsoku/>
        <w:wordWrap/>
        <w:overflowPunct/>
        <w:topLinePunct w:val="0"/>
        <w:autoSpaceDN/>
        <w:bidi w:val="0"/>
        <w:adjustRightInd/>
        <w:snapToGrid/>
        <w:spacing w:line="360" w:lineRule="auto"/>
        <w:textAlignment w:val="auto"/>
        <w:rPr>
          <w:rFonts w:hint="eastAsia" w:ascii="宋体" w:hAnsi="宋体" w:eastAsia="宋体" w:cs="宋体"/>
          <w:color w:val="auto"/>
          <w:kern w:val="2"/>
          <w:sz w:val="28"/>
          <w:szCs w:val="28"/>
          <w:highlight w:val="none"/>
        </w:rPr>
      </w:pPr>
    </w:p>
    <w:p w14:paraId="20D87D4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一、项目基本情况</w:t>
      </w:r>
    </w:p>
    <w:p w14:paraId="60F7A8D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项目编号：JSZC-320111-NJJK-T2025-0023</w:t>
      </w:r>
      <w:r>
        <w:rPr>
          <w:rFonts w:hint="eastAsia" w:ascii="宋体" w:hAnsi="宋体" w:eastAsia="宋体" w:cs="宋体"/>
          <w:color w:val="auto"/>
          <w:kern w:val="2"/>
          <w:sz w:val="28"/>
          <w:szCs w:val="28"/>
          <w:highlight w:val="none"/>
          <w:lang w:val="en-US" w:eastAsia="zh-CN"/>
        </w:rPr>
        <w:t xml:space="preserve"> </w:t>
      </w:r>
      <w:r>
        <w:rPr>
          <w:rFonts w:hint="eastAsia" w:ascii="宋体" w:hAnsi="宋体" w:eastAsia="宋体" w:cs="宋体"/>
          <w:color w:val="auto"/>
          <w:kern w:val="2"/>
          <w:sz w:val="28"/>
          <w:szCs w:val="28"/>
          <w:highlight w:val="none"/>
        </w:rPr>
        <w:t xml:space="preserve"> </w:t>
      </w:r>
    </w:p>
    <w:p w14:paraId="221C69D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项目名称：</w:t>
      </w:r>
      <w:r>
        <w:rPr>
          <w:rFonts w:hint="eastAsia" w:ascii="宋体" w:hAnsi="宋体" w:eastAsia="宋体" w:cs="宋体"/>
          <w:color w:val="auto"/>
          <w:kern w:val="2"/>
          <w:sz w:val="28"/>
          <w:szCs w:val="28"/>
          <w:highlight w:val="none"/>
          <w:lang w:eastAsia="zh-CN"/>
        </w:rPr>
        <w:t>度假区公共区域环卫保洁和绿化管养服务</w:t>
      </w:r>
      <w:r>
        <w:rPr>
          <w:rFonts w:hint="eastAsia" w:ascii="宋体" w:hAnsi="宋体" w:eastAsia="宋体" w:cs="宋体"/>
          <w:color w:val="auto"/>
          <w:kern w:val="2"/>
          <w:sz w:val="28"/>
          <w:szCs w:val="28"/>
          <w:highlight w:val="none"/>
        </w:rPr>
        <w:t xml:space="preserve"> </w:t>
      </w:r>
    </w:p>
    <w:p w14:paraId="21E950E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 xml:space="preserve">采购方式：竞争性谈判 </w:t>
      </w:r>
    </w:p>
    <w:p w14:paraId="12B2811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预算金额：</w:t>
      </w:r>
      <w:r>
        <w:rPr>
          <w:rFonts w:hint="eastAsia" w:ascii="宋体" w:hAnsi="宋体" w:cs="宋体"/>
          <w:color w:val="auto"/>
          <w:kern w:val="2"/>
          <w:sz w:val="28"/>
          <w:szCs w:val="28"/>
          <w:highlight w:val="none"/>
          <w:lang w:val="en-US" w:eastAsia="zh-CN"/>
        </w:rPr>
        <w:t>390</w:t>
      </w:r>
      <w:r>
        <w:rPr>
          <w:rFonts w:hint="eastAsia" w:ascii="宋体" w:hAnsi="宋体" w:eastAsia="宋体" w:cs="宋体"/>
          <w:color w:val="auto"/>
          <w:kern w:val="2"/>
          <w:sz w:val="28"/>
          <w:szCs w:val="28"/>
          <w:highlight w:val="none"/>
        </w:rPr>
        <w:t xml:space="preserve">万元 </w:t>
      </w:r>
    </w:p>
    <w:p w14:paraId="4F1C373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最高限价：</w:t>
      </w:r>
      <w:r>
        <w:rPr>
          <w:rFonts w:hint="eastAsia" w:ascii="宋体" w:hAnsi="宋体" w:eastAsia="宋体" w:cs="宋体"/>
          <w:color w:val="auto"/>
          <w:kern w:val="2"/>
          <w:sz w:val="28"/>
          <w:szCs w:val="28"/>
          <w:highlight w:val="none"/>
          <w:lang w:val="en-US" w:eastAsia="zh-CN"/>
        </w:rPr>
        <w:t>389.88</w:t>
      </w:r>
      <w:r>
        <w:rPr>
          <w:rFonts w:hint="eastAsia" w:ascii="宋体" w:hAnsi="宋体" w:eastAsia="宋体" w:cs="宋体"/>
          <w:color w:val="auto"/>
          <w:kern w:val="2"/>
          <w:sz w:val="28"/>
          <w:szCs w:val="28"/>
          <w:highlight w:val="none"/>
        </w:rPr>
        <w:t>万元</w:t>
      </w:r>
      <w:r>
        <w:rPr>
          <w:rFonts w:hint="eastAsia" w:ascii="宋体" w:hAnsi="宋体" w:eastAsia="宋体" w:cs="宋体"/>
          <w:color w:val="auto"/>
          <w:kern w:val="2"/>
          <w:sz w:val="28"/>
          <w:szCs w:val="28"/>
          <w:highlight w:val="none"/>
        </w:rPr>
        <w:t xml:space="preserve">;最后报价超过最高投标限价的为无效报价，按照无效响应处理。 </w:t>
      </w:r>
    </w:p>
    <w:p w14:paraId="679595C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采购需求：</w:t>
      </w:r>
      <w:r>
        <w:rPr>
          <w:rFonts w:hint="eastAsia" w:ascii="宋体" w:hAnsi="宋体" w:eastAsia="宋体" w:cs="宋体"/>
          <w:color w:val="auto"/>
          <w:kern w:val="2"/>
          <w:sz w:val="28"/>
          <w:szCs w:val="28"/>
          <w:highlight w:val="none"/>
          <w:lang w:eastAsia="zh-CN"/>
        </w:rPr>
        <w:t>度假区公共区域环卫保洁和绿化管养服务，</w:t>
      </w:r>
      <w:r>
        <w:rPr>
          <w:rFonts w:hint="eastAsia" w:ascii="宋体" w:hAnsi="宋体" w:eastAsia="宋体" w:cs="宋体"/>
          <w:color w:val="auto"/>
          <w:kern w:val="2"/>
          <w:sz w:val="28"/>
          <w:szCs w:val="28"/>
          <w:highlight w:val="none"/>
          <w:lang w:val="en-US" w:eastAsia="zh-CN"/>
        </w:rPr>
        <w:t>对</w:t>
      </w:r>
      <w:r>
        <w:rPr>
          <w:rFonts w:hint="eastAsia" w:ascii="宋体" w:hAnsi="宋体" w:eastAsia="宋体" w:cs="宋体"/>
          <w:color w:val="auto"/>
          <w:kern w:val="2"/>
          <w:sz w:val="28"/>
          <w:szCs w:val="28"/>
          <w:highlight w:val="none"/>
          <w:lang w:eastAsia="zh-CN"/>
        </w:rPr>
        <w:t>龙谷路、营盘山路、云出路、十三号路、</w:t>
      </w:r>
      <w:r>
        <w:rPr>
          <w:rFonts w:hint="eastAsia" w:ascii="宋体" w:hAnsi="宋体" w:eastAsia="宋体" w:cs="宋体"/>
          <w:color w:val="auto"/>
          <w:kern w:val="2"/>
          <w:sz w:val="28"/>
          <w:szCs w:val="28"/>
          <w:highlight w:val="none"/>
          <w:lang w:val="en-US" w:eastAsia="zh-CN"/>
        </w:rPr>
        <w:t>名佛路、珍佛路、佛展路、浦合路人行道、进山野道</w:t>
      </w:r>
      <w:r>
        <w:rPr>
          <w:rFonts w:hint="eastAsia" w:ascii="宋体" w:hAnsi="宋体" w:eastAsia="宋体" w:cs="宋体"/>
          <w:color w:val="auto"/>
          <w:kern w:val="2"/>
          <w:sz w:val="28"/>
          <w:szCs w:val="28"/>
          <w:highlight w:val="none"/>
          <w:lang w:eastAsia="zh-CN"/>
        </w:rPr>
        <w:t>等道路以及道路两侧可视范围绿地空地</w:t>
      </w:r>
      <w:r>
        <w:rPr>
          <w:rFonts w:hint="eastAsia" w:ascii="宋体" w:hAnsi="宋体" w:eastAsia="宋体" w:cs="宋体"/>
          <w:color w:val="auto"/>
          <w:kern w:val="2"/>
          <w:sz w:val="28"/>
          <w:szCs w:val="28"/>
          <w:highlight w:val="none"/>
          <w:lang w:val="en-US" w:eastAsia="zh-CN"/>
        </w:rPr>
        <w:t>组织</w:t>
      </w:r>
      <w:r>
        <w:rPr>
          <w:rFonts w:hint="eastAsia" w:ascii="宋体" w:hAnsi="宋体" w:eastAsia="宋体" w:cs="宋体"/>
          <w:color w:val="auto"/>
          <w:kern w:val="2"/>
          <w:sz w:val="28"/>
          <w:szCs w:val="28"/>
          <w:highlight w:val="none"/>
          <w:lang w:eastAsia="zh-CN"/>
        </w:rPr>
        <w:t>保洁、拆迁片区、管办、执法大队、八一新村</w:t>
      </w:r>
      <w:r>
        <w:rPr>
          <w:rFonts w:hint="eastAsia" w:ascii="宋体" w:hAnsi="宋体" w:eastAsia="宋体" w:cs="宋体"/>
          <w:color w:val="auto"/>
          <w:kern w:val="2"/>
          <w:sz w:val="28"/>
          <w:szCs w:val="28"/>
          <w:highlight w:val="none"/>
          <w:lang w:val="en-US" w:eastAsia="zh-CN"/>
        </w:rPr>
        <w:t>等区域垃圾清运以及国控点雾炮降尘等</w:t>
      </w:r>
      <w:r>
        <w:rPr>
          <w:rFonts w:hint="eastAsia" w:ascii="宋体" w:hAnsi="宋体" w:eastAsia="宋体" w:cs="宋体"/>
          <w:color w:val="auto"/>
          <w:kern w:val="2"/>
          <w:sz w:val="28"/>
          <w:szCs w:val="28"/>
          <w:highlight w:val="none"/>
          <w:lang w:eastAsia="zh-CN"/>
        </w:rPr>
        <w:t>服务，</w:t>
      </w:r>
      <w:r>
        <w:rPr>
          <w:rFonts w:hint="eastAsia" w:ascii="宋体" w:hAnsi="宋体" w:eastAsia="宋体" w:cs="宋体"/>
          <w:color w:val="auto"/>
          <w:kern w:val="2"/>
          <w:sz w:val="28"/>
          <w:szCs w:val="28"/>
          <w:highlight w:val="none"/>
          <w:lang w:val="en-US" w:eastAsia="zh-CN"/>
        </w:rPr>
        <w:t>负责清运区域内零星偷倒的各类垃圾及渣土等；</w:t>
      </w:r>
      <w:r>
        <w:rPr>
          <w:rFonts w:hint="eastAsia" w:ascii="宋体" w:hAnsi="宋体" w:eastAsia="宋体" w:cs="宋体"/>
          <w:color w:val="auto"/>
          <w:kern w:val="2"/>
          <w:sz w:val="28"/>
          <w:szCs w:val="28"/>
          <w:highlight w:val="none"/>
          <w:lang w:val="en-US" w:eastAsia="zh-CN"/>
        </w:rPr>
        <w:t>包括主要道路约18.65万平米，次要道路约3.78万平米，路测绿地空地约17.32万平米。甲方指定的</w:t>
      </w:r>
      <w:r>
        <w:rPr>
          <w:rFonts w:hint="eastAsia" w:ascii="宋体" w:hAnsi="宋体" w:eastAsia="宋体" w:cs="宋体"/>
          <w:color w:val="auto"/>
          <w:kern w:val="2"/>
          <w:sz w:val="28"/>
          <w:szCs w:val="28"/>
          <w:highlight w:val="none"/>
          <w:lang w:eastAsia="zh-CN"/>
        </w:rPr>
        <w:t>度假区</w:t>
      </w:r>
      <w:r>
        <w:rPr>
          <w:rFonts w:hint="eastAsia" w:ascii="宋体" w:hAnsi="宋体" w:eastAsia="宋体" w:cs="宋体"/>
          <w:color w:val="auto"/>
          <w:kern w:val="2"/>
          <w:sz w:val="28"/>
          <w:szCs w:val="28"/>
          <w:highlight w:val="none"/>
          <w:lang w:val="en-US" w:eastAsia="zh-CN"/>
        </w:rPr>
        <w:t>公共区</w:t>
      </w:r>
      <w:r>
        <w:rPr>
          <w:rFonts w:hint="eastAsia" w:ascii="宋体" w:hAnsi="宋体" w:eastAsia="宋体" w:cs="宋体"/>
          <w:color w:val="auto"/>
          <w:kern w:val="2"/>
          <w:sz w:val="28"/>
          <w:szCs w:val="28"/>
          <w:highlight w:val="none"/>
          <w:lang w:eastAsia="zh-CN"/>
        </w:rPr>
        <w:t>管养范围内所有绿化，</w:t>
      </w:r>
      <w:r>
        <w:rPr>
          <w:rFonts w:hint="eastAsia" w:ascii="宋体" w:hAnsi="宋体" w:eastAsia="宋体" w:cs="宋体"/>
          <w:color w:val="auto"/>
          <w:kern w:val="2"/>
          <w:sz w:val="28"/>
          <w:szCs w:val="28"/>
          <w:highlight w:val="none"/>
          <w:lang w:val="en-US" w:eastAsia="zh-CN"/>
        </w:rPr>
        <w:t>主要为浦合路两侧、绿园路两侧以及龙之谷区域绿地和行道树等，包括绿地约26.82万平米，行道树约2297棵。包括但不限于上述范围内的道路以及道路两侧绿地、行道树开展专业化养护服务。具体详见第四章采购需求。</w:t>
      </w:r>
    </w:p>
    <w:p w14:paraId="31E90167">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rPr>
        <w:t>合同履行期限：</w:t>
      </w:r>
      <w:r>
        <w:rPr>
          <w:rFonts w:hint="eastAsia" w:ascii="宋体" w:hAnsi="宋体" w:eastAsia="宋体" w:cs="宋体"/>
          <w:color w:val="auto"/>
          <w:kern w:val="2"/>
          <w:sz w:val="28"/>
          <w:szCs w:val="28"/>
          <w:highlight w:val="none"/>
          <w:lang w:val="en-US" w:eastAsia="zh-CN"/>
        </w:rPr>
        <w:t xml:space="preserve">1年。 </w:t>
      </w:r>
    </w:p>
    <w:p w14:paraId="2428AD3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 xml:space="preserve">本项目（是/否）接受联合体：否 </w:t>
      </w:r>
    </w:p>
    <w:p w14:paraId="5E9820E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二、申请人的资格要求：</w:t>
      </w:r>
    </w:p>
    <w:p w14:paraId="757C3FA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（一）满足《中华人民共和国政府采购法》第二十二条规定：</w:t>
      </w:r>
    </w:p>
    <w:p w14:paraId="2D4C3B8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1.具有独立承担民事责任的能力（提供有效的营业执照）</w:t>
      </w:r>
    </w:p>
    <w:p w14:paraId="335F524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2.具有良好的商业信誉和健全的财务会计制度（提供南京市政府采购供应商信用记录表暨信用承诺书）</w:t>
      </w:r>
    </w:p>
    <w:p w14:paraId="37E60B1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3.具有履行合同所必需的设备和专业技术能力（提供南京市政府采购供应商信用记录表暨信用承诺书）</w:t>
      </w:r>
    </w:p>
    <w:p w14:paraId="10600D3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4.有依法缴纳税收和社会保障资金的良好记录（提供南京市政府采购供应商信用记录表暨信用承诺书）</w:t>
      </w:r>
    </w:p>
    <w:p w14:paraId="1F0B6A3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5.参加政府采购活动前三年内，在经营活动中没有重大违法记录（提供南京市政府采购供应商信用记录表暨信用承诺书）</w:t>
      </w:r>
    </w:p>
    <w:p w14:paraId="7E47DA5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6.法律、行政法规和采购文件规定的其他条件（提供南京市政府采购供应商信用记录表暨信用承诺书)</w:t>
      </w:r>
    </w:p>
    <w:p w14:paraId="47BDD47A">
      <w:pPr>
        <w:pStyle w:val="41"/>
        <w:pageBreakBefore w:val="0"/>
        <w:kinsoku/>
        <w:wordWrap/>
        <w:overflowPunct/>
        <w:topLinePunct w:val="0"/>
        <w:autoSpaceDN/>
        <w:bidi w:val="0"/>
        <w:adjustRightInd/>
        <w:snapToGrid/>
        <w:spacing w:line="360" w:lineRule="auto"/>
        <w:ind w:left="0" w:leftChars="0" w:firstLine="0" w:firstLineChars="0"/>
        <w:rPr>
          <w:rFonts w:hint="eastAsia" w:ascii="宋体" w:hAnsi="宋体" w:eastAsia="宋体" w:cs="宋体"/>
          <w:color w:val="auto"/>
          <w:highlight w:val="none"/>
          <w:lang w:val="en-US" w:eastAsia="zh-CN"/>
        </w:rPr>
      </w:pPr>
      <w:r>
        <w:rPr>
          <w:rFonts w:hint="eastAsia" w:ascii="宋体" w:hAnsi="宋体" w:eastAsia="宋体" w:cs="宋体"/>
          <w:color w:val="auto"/>
          <w:kern w:val="2"/>
          <w:sz w:val="28"/>
          <w:szCs w:val="28"/>
          <w:highlight w:val="none"/>
          <w:lang w:val="en-US" w:eastAsia="zh-CN"/>
        </w:rPr>
        <w:t>7.</w:t>
      </w:r>
      <w:r>
        <w:rPr>
          <w:rFonts w:hint="eastAsia" w:ascii="宋体" w:hAnsi="宋体" w:eastAsia="宋体" w:cs="宋体"/>
          <w:color w:val="auto"/>
          <w:sz w:val="28"/>
          <w:szCs w:val="28"/>
          <w:highlight w:val="none"/>
          <w:lang w:val="en-US" w:eastAsia="zh-CN"/>
        </w:rPr>
        <w:t>所有供应商的第二次报价（最终报价），不得高于第一次报价，否则按废标处理。</w:t>
      </w:r>
    </w:p>
    <w:p w14:paraId="041EAEB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（二）落实政府采购政策需满足的资格要求：无</w:t>
      </w:r>
    </w:p>
    <w:p w14:paraId="1278EFF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（三）本项目的特定资格要求：</w:t>
      </w:r>
      <w:bookmarkStart w:id="0" w:name="_Toc1720135"/>
      <w:bookmarkStart w:id="1" w:name="_Toc508286060"/>
    </w:p>
    <w:p w14:paraId="7419301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项目负责人资格：具备园林绿化类专业中级及以上职称【专业以职称证书为准，如职称证书反映不出园林专业的，则以毕业证书上专业为准；园林绿化类专业：指与园林绿化工程规划、园林绿化设计、园林绿化施工及养护管理相关的专业，包括园林（含园林规划设计、园林植物、风景园林、园林绿化等）、园艺、城市规划、景观、植物（含植保、森保等）、风景旅游、环境艺术等专业】。</w:t>
      </w:r>
    </w:p>
    <w:bookmarkEnd w:id="0"/>
    <w:bookmarkEnd w:id="1"/>
    <w:p w14:paraId="5E5C9D6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备注：投标人须</w:t>
      </w:r>
      <w:bookmarkStart w:id="9" w:name="_GoBack"/>
      <w:r>
        <w:rPr>
          <w:rFonts w:hint="eastAsia" w:ascii="宋体" w:hAnsi="宋体" w:eastAsia="宋体" w:cs="宋体"/>
          <w:color w:val="auto"/>
          <w:kern w:val="2"/>
          <w:sz w:val="28"/>
          <w:szCs w:val="28"/>
          <w:highlight w:val="none"/>
          <w:lang w:val="en-US" w:eastAsia="zh-CN" w:bidi="ar-SA"/>
        </w:rPr>
        <w:t>提供</w:t>
      </w:r>
      <w:r>
        <w:rPr>
          <w:rFonts w:hint="eastAsia" w:ascii="宋体" w:hAnsi="宋体" w:cs="宋体"/>
          <w:color w:val="auto"/>
          <w:kern w:val="2"/>
          <w:sz w:val="28"/>
          <w:szCs w:val="28"/>
          <w:highlight w:val="none"/>
          <w:lang w:val="en-US" w:eastAsia="zh-CN" w:bidi="ar-SA"/>
        </w:rPr>
        <w:t>职称证书及毕业证书、</w:t>
      </w:r>
      <w:bookmarkEnd w:id="9"/>
      <w:r>
        <w:rPr>
          <w:rFonts w:hint="eastAsia" w:ascii="宋体" w:hAnsi="宋体" w:eastAsia="宋体" w:cs="宋体"/>
          <w:color w:val="auto"/>
          <w:kern w:val="2"/>
          <w:sz w:val="28"/>
          <w:szCs w:val="28"/>
          <w:highlight w:val="none"/>
          <w:lang w:val="en-US" w:eastAsia="zh-CN" w:bidi="ar-SA"/>
        </w:rPr>
        <w:t>拟投入本项目的项目负责人与投标人签订的有效劳动合同、社保机构出具的近半年(2025年5月至2025年10月)投标人为项目负责人缴纳的任一个月的养老保险金缴费证明材料（须明确缴费月份、个人姓名、缴费单位，且加盖社保中心章或社保中心参保缴费证明电子专用章）；若项目负责人属企业退休人员、事业编制人员、现役军人等客观原因无法提供养老保险金缴费证明，退休人员必须出具退休证及劳务合同，若事业编制人员需要提供所在单位上级人事主管部门的人事证明材料。以上材料由投标人自行扫描上传至投标文件中，未提供将作为资格审查不通过处理。</w:t>
      </w:r>
    </w:p>
    <w:p w14:paraId="53529EC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三、获取采购文件</w:t>
      </w:r>
    </w:p>
    <w:p w14:paraId="5A1F9E4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 xml:space="preserve">时间：自谈判文件公告发布之日起3个工作日 </w:t>
      </w:r>
    </w:p>
    <w:p w14:paraId="61CD46B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 xml:space="preserve">地点：“苏采云”网上交易系统 </w:t>
      </w:r>
    </w:p>
    <w:p w14:paraId="30EF887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 xml:space="preserve">方式：“苏采云”网上交易系统免费下载采购文件 </w:t>
      </w:r>
    </w:p>
    <w:p w14:paraId="1485700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四、响应文件提交</w:t>
      </w:r>
    </w:p>
    <w:p w14:paraId="6C22584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截止时间：</w:t>
      </w:r>
      <w:r>
        <w:rPr>
          <w:rFonts w:hint="eastAsia" w:ascii="宋体" w:hAnsi="宋体" w:eastAsia="宋体" w:cs="宋体"/>
          <w:color w:val="auto"/>
          <w:kern w:val="2"/>
          <w:sz w:val="28"/>
          <w:szCs w:val="28"/>
          <w:highlight w:val="none"/>
        </w:rPr>
        <w:t>202</w:t>
      </w:r>
      <w:r>
        <w:rPr>
          <w:rFonts w:hint="eastAsia" w:ascii="宋体" w:hAnsi="宋体" w:eastAsia="宋体" w:cs="宋体"/>
          <w:color w:val="auto"/>
          <w:kern w:val="2"/>
          <w:sz w:val="28"/>
          <w:szCs w:val="28"/>
          <w:highlight w:val="none"/>
          <w:lang w:val="en-US" w:eastAsia="zh-CN"/>
        </w:rPr>
        <w:t>5</w:t>
      </w:r>
      <w:r>
        <w:rPr>
          <w:rFonts w:hint="eastAsia" w:ascii="宋体" w:hAnsi="宋体" w:cs="宋体"/>
          <w:color w:val="auto"/>
          <w:kern w:val="2"/>
          <w:sz w:val="28"/>
          <w:szCs w:val="28"/>
          <w:highlight w:val="none"/>
          <w:lang w:val="en-US" w:eastAsia="zh-CN"/>
        </w:rPr>
        <w:t>年12月1日</w:t>
      </w:r>
      <w:r>
        <w:rPr>
          <w:rFonts w:hint="eastAsia" w:ascii="宋体" w:hAnsi="宋体" w:eastAsia="宋体" w:cs="宋体"/>
          <w:color w:val="auto"/>
          <w:kern w:val="2"/>
          <w:sz w:val="28"/>
          <w:szCs w:val="28"/>
          <w:highlight w:val="none"/>
          <w:lang w:val="en-US" w:eastAsia="zh-CN"/>
        </w:rPr>
        <w:t>9</w:t>
      </w:r>
      <w:r>
        <w:rPr>
          <w:rFonts w:hint="eastAsia" w:ascii="宋体" w:hAnsi="宋体" w:eastAsia="宋体" w:cs="宋体"/>
          <w:color w:val="auto"/>
          <w:kern w:val="2"/>
          <w:sz w:val="28"/>
          <w:szCs w:val="28"/>
          <w:highlight w:val="none"/>
        </w:rPr>
        <w:t xml:space="preserve">:00 </w:t>
      </w:r>
      <w:r>
        <w:rPr>
          <w:rFonts w:hint="eastAsia" w:ascii="宋体" w:hAnsi="宋体" w:eastAsia="宋体" w:cs="宋体"/>
          <w:color w:val="auto"/>
          <w:kern w:val="2"/>
          <w:sz w:val="28"/>
          <w:szCs w:val="28"/>
          <w:highlight w:val="none"/>
        </w:rPr>
        <w:t>（北京时间）</w:t>
      </w:r>
    </w:p>
    <w:p w14:paraId="4C2B640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 xml:space="preserve">地点：“苏采云”网上交易系统 </w:t>
      </w:r>
    </w:p>
    <w:p w14:paraId="07A1401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五、开启</w:t>
      </w:r>
    </w:p>
    <w:p w14:paraId="3050280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时间：</w:t>
      </w:r>
      <w:r>
        <w:rPr>
          <w:rFonts w:hint="eastAsia" w:ascii="宋体" w:hAnsi="宋体" w:eastAsia="宋体" w:cs="宋体"/>
          <w:color w:val="auto"/>
          <w:kern w:val="2"/>
          <w:sz w:val="28"/>
          <w:szCs w:val="28"/>
          <w:highlight w:val="none"/>
        </w:rPr>
        <w:t>202</w:t>
      </w:r>
      <w:r>
        <w:rPr>
          <w:rFonts w:hint="eastAsia" w:ascii="宋体" w:hAnsi="宋体" w:eastAsia="宋体" w:cs="宋体"/>
          <w:color w:val="auto"/>
          <w:kern w:val="2"/>
          <w:sz w:val="28"/>
          <w:szCs w:val="28"/>
          <w:highlight w:val="none"/>
          <w:lang w:val="en-US" w:eastAsia="zh-CN"/>
        </w:rPr>
        <w:t>5</w:t>
      </w:r>
      <w:r>
        <w:rPr>
          <w:rFonts w:hint="eastAsia" w:ascii="宋体" w:hAnsi="宋体" w:cs="宋体"/>
          <w:color w:val="auto"/>
          <w:kern w:val="2"/>
          <w:sz w:val="28"/>
          <w:szCs w:val="28"/>
          <w:highlight w:val="none"/>
          <w:lang w:val="en-US" w:eastAsia="zh-CN"/>
        </w:rPr>
        <w:t>年12月1日</w:t>
      </w:r>
      <w:r>
        <w:rPr>
          <w:rFonts w:hint="eastAsia" w:ascii="宋体" w:hAnsi="宋体" w:eastAsia="宋体" w:cs="宋体"/>
          <w:color w:val="auto"/>
          <w:kern w:val="2"/>
          <w:sz w:val="28"/>
          <w:szCs w:val="28"/>
          <w:highlight w:val="none"/>
          <w:lang w:val="en-US" w:eastAsia="zh-CN"/>
        </w:rPr>
        <w:t>9</w:t>
      </w:r>
      <w:r>
        <w:rPr>
          <w:rFonts w:hint="eastAsia" w:ascii="宋体" w:hAnsi="宋体" w:eastAsia="宋体" w:cs="宋体"/>
          <w:color w:val="auto"/>
          <w:kern w:val="2"/>
          <w:sz w:val="28"/>
          <w:szCs w:val="28"/>
          <w:highlight w:val="none"/>
        </w:rPr>
        <w:t xml:space="preserve">:00 </w:t>
      </w:r>
      <w:r>
        <w:rPr>
          <w:rFonts w:hint="eastAsia" w:ascii="宋体" w:hAnsi="宋体" w:eastAsia="宋体" w:cs="宋体"/>
          <w:color w:val="auto"/>
          <w:kern w:val="2"/>
          <w:sz w:val="28"/>
          <w:szCs w:val="28"/>
          <w:highlight w:val="none"/>
        </w:rPr>
        <w:t>（北京时间）</w:t>
      </w:r>
    </w:p>
    <w:p w14:paraId="50FF6FE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 xml:space="preserve">地点：“苏采云”网上交易系统  </w:t>
      </w:r>
    </w:p>
    <w:p w14:paraId="4FA90AE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六、公告期限</w:t>
      </w:r>
    </w:p>
    <w:p w14:paraId="3032544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自本公告发布之日起3个工作日。</w:t>
      </w:r>
    </w:p>
    <w:p w14:paraId="40F8C00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 xml:space="preserve">七、其他补充事宜 </w:t>
      </w:r>
    </w:p>
    <w:p w14:paraId="0595AE8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1、有关本次招标的事项若存在澄清或修改，敬请及时关注“南京公共采购信息网”“江苏省政府采购网”发布的信息更正公告。</w:t>
      </w:r>
    </w:p>
    <w:p w14:paraId="45747E4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2、供应商诚信档案注册登记管理：</w:t>
      </w:r>
    </w:p>
    <w:p w14:paraId="33C8B2D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2.1、凡在南京地区参加政府采购活动的供应商，应当事先登陆“南京公共采购信息网--政府采购供应商诚信档案”栏目（https://njgc.jfh.com/）进行注册登记并上传规定的资料。由于特殊原因未及时注册的供应商可先行获取采购文件，但必须在提交响应文件截止时间前2天内办理登记注册手续。</w:t>
      </w:r>
    </w:p>
    <w:p w14:paraId="163B6DD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2.2、供应商参加本项目政府采购活动时，无论是新用户注册或已注册成功的，均应在采购文件发布之日起至提交响应文件截止时间前，登录“南京公共采购信息网--政府采购供应商诚信档案”栏目（https://njgc.jfh.com/）在线打印其“南京市政府采购供应商信用记录表暨信用承诺书”，经法定代表人签名盖章后作为响应文件的有效组成部分。“南京市政府采购供应商信用记录表暨信用承诺书”是其参加本次政府采购活动的必备材料。</w:t>
      </w:r>
    </w:p>
    <w:p w14:paraId="5695F96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3、勘察现场或答疑：采购单位不组织，供应商可自行联系采购单位。未考察现场或考察工作不详细的供应商中标后，不得以不完全了解现场情况为理由而向采购单位提出任何索赔或其他要求，对此采购单位不承担任何责任并将不作任何答复。</w:t>
      </w:r>
    </w:p>
    <w:p w14:paraId="786C11F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4..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14:paraId="6B1F5D0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5.供应商如确定参加谈判，可自行下载采购文件及有关资料，按照《操作手册》进行注册，领取CA和办理电子签章，并按《操作手册》要求制作、上传电子投标文件。</w:t>
      </w:r>
    </w:p>
    <w:p w14:paraId="5BEFC79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6.竞争性磋商、竞争性谈判、单一来源采购项目将与供应商就谈判（磋商）文件进行线上谈判（磋商），请供应商在开标前登录谷歌浏览器进入不见面大厅，并准备好耳麦和摄像设备。因供应商网络与电源不稳定、未按要求配置上述设备、上述设备发生故障等自身原因，导致谈判（磋商）失败，供应商自行承担其后果。</w:t>
      </w:r>
    </w:p>
    <w:p w14:paraId="21899EC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59D364F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8.供应商对于投标产品的包装应按照“财办库〔2020〕123号《关于印发《商品包装政府采购需求标准（试行）》、《快递包装政府采购需求标准（试行）》的通知》”执行。</w:t>
      </w:r>
    </w:p>
    <w:p w14:paraId="3D11F32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9.落实政府采购《绿色建筑和绿色建材政府采购需求标准》（财库〔2022〕35号文）和《政府采购支持绿色建材促进建筑品质提升政策项目实施指南》（财办库〔2023〕52号）文件标准。</w:t>
      </w:r>
    </w:p>
    <w:p w14:paraId="7085330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10、本项目需要落实的采购政策：</w:t>
      </w:r>
    </w:p>
    <w:p w14:paraId="5DC6774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（1）政府采购促进中小企业发展</w:t>
      </w:r>
    </w:p>
    <w:p w14:paraId="3BDD25A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（2）政府采购支持监狱企业发展</w:t>
      </w:r>
    </w:p>
    <w:p w14:paraId="6592D40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（3）政府采购促进残疾人就业</w:t>
      </w:r>
    </w:p>
    <w:p w14:paraId="5C07AE6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（4）政府采购鼓励采购节能环保产品</w:t>
      </w:r>
    </w:p>
    <w:p w14:paraId="4B6BB5E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八、凡对本次采购提出询问，请按以下方式联系。</w:t>
      </w:r>
    </w:p>
    <w:p w14:paraId="11A820F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1.采购人信息</w:t>
      </w:r>
    </w:p>
    <w:p w14:paraId="5483480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单位名称：南京珍珠泉旅游度假区管理办公室</w:t>
      </w:r>
    </w:p>
    <w:p w14:paraId="4F8011E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单位地址：南京市浦口区珍珠街178号</w:t>
      </w:r>
    </w:p>
    <w:p w14:paraId="240A69A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rPr>
        <w:t>联系人：</w:t>
      </w:r>
      <w:r>
        <w:rPr>
          <w:rFonts w:hint="eastAsia" w:ascii="宋体" w:hAnsi="宋体" w:eastAsia="宋体" w:cs="宋体"/>
          <w:color w:val="auto"/>
          <w:kern w:val="2"/>
          <w:sz w:val="28"/>
          <w:szCs w:val="28"/>
          <w:highlight w:val="none"/>
          <w:lang w:val="en-US" w:eastAsia="zh-CN"/>
        </w:rPr>
        <w:t xml:space="preserve">熊工 </w:t>
      </w:r>
    </w:p>
    <w:p w14:paraId="46104CA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rPr>
        <w:t>联系电话：025-58</w:t>
      </w:r>
      <w:r>
        <w:rPr>
          <w:rFonts w:hint="eastAsia" w:ascii="宋体" w:hAnsi="宋体" w:eastAsia="宋体" w:cs="宋体"/>
          <w:color w:val="auto"/>
          <w:kern w:val="2"/>
          <w:sz w:val="28"/>
          <w:szCs w:val="28"/>
          <w:highlight w:val="none"/>
          <w:lang w:val="en-US" w:eastAsia="zh-CN"/>
        </w:rPr>
        <w:t>853736</w:t>
      </w:r>
    </w:p>
    <w:p w14:paraId="54CAC8A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2.采购代理机构信息（如有）</w:t>
      </w:r>
    </w:p>
    <w:p w14:paraId="21C3978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单位名称：</w:t>
      </w:r>
      <w:r>
        <w:rPr>
          <w:rFonts w:hint="eastAsia" w:ascii="宋体" w:hAnsi="宋体" w:eastAsia="宋体" w:cs="宋体"/>
          <w:color w:val="auto"/>
          <w:kern w:val="2"/>
          <w:sz w:val="28"/>
          <w:szCs w:val="28"/>
          <w:highlight w:val="none"/>
          <w:lang w:val="en-US" w:eastAsia="zh-CN"/>
        </w:rPr>
        <w:t>南京建凯建设项目</w:t>
      </w:r>
      <w:r>
        <w:rPr>
          <w:rFonts w:hint="eastAsia" w:ascii="宋体" w:hAnsi="宋体" w:eastAsia="宋体" w:cs="宋体"/>
          <w:color w:val="auto"/>
          <w:kern w:val="2"/>
          <w:sz w:val="28"/>
          <w:szCs w:val="28"/>
          <w:highlight w:val="none"/>
        </w:rPr>
        <w:t>有限公司</w:t>
      </w:r>
    </w:p>
    <w:p w14:paraId="4E42C62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rPr>
        <w:t>单位地址：南京市浦口区</w:t>
      </w:r>
      <w:r>
        <w:rPr>
          <w:rFonts w:hint="eastAsia" w:ascii="宋体" w:hAnsi="宋体" w:eastAsia="宋体" w:cs="宋体"/>
          <w:color w:val="auto"/>
          <w:kern w:val="2"/>
          <w:sz w:val="28"/>
          <w:szCs w:val="28"/>
          <w:highlight w:val="none"/>
          <w:lang w:val="en-US" w:eastAsia="zh-CN"/>
        </w:rPr>
        <w:t>新城总部大厦B座515</w:t>
      </w:r>
    </w:p>
    <w:p w14:paraId="730C46B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联系人：</w:t>
      </w:r>
      <w:r>
        <w:rPr>
          <w:rFonts w:hint="eastAsia" w:ascii="宋体" w:hAnsi="宋体" w:eastAsia="宋体" w:cs="宋体"/>
          <w:color w:val="auto"/>
          <w:kern w:val="2"/>
          <w:sz w:val="28"/>
          <w:szCs w:val="28"/>
          <w:highlight w:val="none"/>
          <w:lang w:val="en-US" w:eastAsia="zh-CN"/>
        </w:rPr>
        <w:t>孙</w:t>
      </w:r>
      <w:r>
        <w:rPr>
          <w:rFonts w:hint="eastAsia" w:ascii="宋体" w:hAnsi="宋体" w:eastAsia="宋体" w:cs="宋体"/>
          <w:color w:val="auto"/>
          <w:kern w:val="2"/>
          <w:sz w:val="28"/>
          <w:szCs w:val="28"/>
          <w:highlight w:val="none"/>
        </w:rPr>
        <w:t>工</w:t>
      </w:r>
    </w:p>
    <w:p w14:paraId="6C9D236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rPr>
        <w:t>联系电话：</w:t>
      </w:r>
      <w:r>
        <w:rPr>
          <w:rFonts w:hint="eastAsia" w:ascii="宋体" w:hAnsi="宋体" w:eastAsia="宋体" w:cs="宋体"/>
          <w:color w:val="auto"/>
          <w:kern w:val="2"/>
          <w:sz w:val="28"/>
          <w:szCs w:val="28"/>
          <w:highlight w:val="none"/>
          <w:lang w:val="en-US" w:eastAsia="zh-CN"/>
        </w:rPr>
        <w:t>025-83286879</w:t>
      </w:r>
    </w:p>
    <w:p w14:paraId="26286E3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3.项目联系方式</w:t>
      </w:r>
    </w:p>
    <w:p w14:paraId="4E14786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联系人：</w:t>
      </w:r>
      <w:r>
        <w:rPr>
          <w:rFonts w:hint="eastAsia" w:ascii="宋体" w:hAnsi="宋体" w:eastAsia="宋体" w:cs="宋体"/>
          <w:color w:val="auto"/>
          <w:kern w:val="2"/>
          <w:sz w:val="28"/>
          <w:szCs w:val="28"/>
          <w:highlight w:val="none"/>
          <w:lang w:val="en-US" w:eastAsia="zh-CN"/>
        </w:rPr>
        <w:t>孙</w:t>
      </w:r>
      <w:r>
        <w:rPr>
          <w:rFonts w:hint="eastAsia" w:ascii="宋体" w:hAnsi="宋体" w:eastAsia="宋体" w:cs="宋体"/>
          <w:color w:val="auto"/>
          <w:kern w:val="2"/>
          <w:sz w:val="28"/>
          <w:szCs w:val="28"/>
          <w:highlight w:val="none"/>
        </w:rPr>
        <w:t>工</w:t>
      </w:r>
    </w:p>
    <w:p w14:paraId="7F3DF75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rPr>
        <w:t>联系电话：</w:t>
      </w:r>
      <w:r>
        <w:rPr>
          <w:rFonts w:hint="eastAsia" w:ascii="宋体" w:hAnsi="宋体" w:eastAsia="宋体" w:cs="宋体"/>
          <w:color w:val="auto"/>
          <w:kern w:val="2"/>
          <w:sz w:val="28"/>
          <w:szCs w:val="28"/>
          <w:highlight w:val="none"/>
          <w:lang w:val="en-US" w:eastAsia="zh-CN"/>
        </w:rPr>
        <w:t>025-83286879</w:t>
      </w:r>
    </w:p>
    <w:p w14:paraId="25E89617">
      <w:pPr>
        <w:pageBreakBefore w:val="0"/>
        <w:kinsoku/>
        <w:wordWrap/>
        <w:overflowPunct/>
        <w:topLinePunct w:val="0"/>
        <w:autoSpaceDN/>
        <w:bidi w:val="0"/>
        <w:adjustRightInd/>
        <w:snapToGrid/>
        <w:spacing w:line="360" w:lineRule="auto"/>
        <w:textAlignment w:val="auto"/>
        <w:rPr>
          <w:rFonts w:hint="eastAsia" w:ascii="宋体" w:hAnsi="宋体" w:eastAsia="宋体" w:cs="宋体"/>
          <w:color w:val="auto"/>
          <w:kern w:val="2"/>
          <w:sz w:val="28"/>
          <w:szCs w:val="28"/>
          <w:highlight w:val="none"/>
        </w:rPr>
      </w:pPr>
    </w:p>
    <w:p w14:paraId="72AE97A6">
      <w:pPr>
        <w:pageBreakBefore w:val="0"/>
        <w:kinsoku/>
        <w:wordWrap/>
        <w:overflowPunct/>
        <w:topLinePunct w:val="0"/>
        <w:autoSpaceDN/>
        <w:bidi w:val="0"/>
        <w:adjustRightInd/>
        <w:snapToGrid/>
        <w:spacing w:line="360" w:lineRule="auto"/>
        <w:textAlignment w:val="auto"/>
        <w:rPr>
          <w:rFonts w:hint="eastAsia" w:ascii="宋体" w:hAnsi="宋体" w:eastAsia="宋体" w:cs="宋体"/>
          <w:color w:val="auto"/>
          <w:kern w:val="2"/>
          <w:sz w:val="28"/>
          <w:szCs w:val="28"/>
          <w:highlight w:val="none"/>
        </w:rPr>
      </w:pPr>
    </w:p>
    <w:p w14:paraId="571DAB4C">
      <w:pPr>
        <w:pStyle w:val="275"/>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highlight w:val="none"/>
        </w:rPr>
      </w:pPr>
    </w:p>
    <w:p w14:paraId="6024DA2B">
      <w:pPr>
        <w:pStyle w:val="275"/>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highlight w:val="none"/>
        </w:rPr>
      </w:pPr>
    </w:p>
    <w:p w14:paraId="4E9E4FEA">
      <w:pPr>
        <w:pStyle w:val="275"/>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highlight w:val="none"/>
        </w:rPr>
      </w:pPr>
    </w:p>
    <w:p w14:paraId="1ACCFDBE">
      <w:pPr>
        <w:pStyle w:val="275"/>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highlight w:val="none"/>
        </w:rPr>
      </w:pPr>
    </w:p>
    <w:p w14:paraId="05AF1276">
      <w:pPr>
        <w:pStyle w:val="275"/>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highlight w:val="none"/>
        </w:rPr>
      </w:pPr>
    </w:p>
    <w:p w14:paraId="56AD2CB8">
      <w:pPr>
        <w:pStyle w:val="275"/>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highlight w:val="none"/>
        </w:rPr>
      </w:pPr>
    </w:p>
    <w:p w14:paraId="187C5095">
      <w:pPr>
        <w:pageBreakBefore w:val="0"/>
        <w:kinsoku/>
        <w:wordWrap/>
        <w:overflowPunct/>
        <w:topLinePunct w:val="0"/>
        <w:autoSpaceDE/>
        <w:autoSpaceDN/>
        <w:bidi w:val="0"/>
        <w:adjustRightInd/>
        <w:snapToGrid/>
        <w:spacing w:line="360" w:lineRule="auto"/>
        <w:ind w:firstLine="680"/>
        <w:jc w:val="center"/>
        <w:textAlignment w:val="auto"/>
        <w:outlineLvl w:val="0"/>
        <w:rPr>
          <w:rFonts w:hint="eastAsia" w:ascii="宋体" w:hAnsi="宋体" w:eastAsia="宋体" w:cs="宋体"/>
          <w:color w:val="auto"/>
          <w:spacing w:val="-10"/>
          <w:sz w:val="36"/>
          <w:szCs w:val="36"/>
          <w:highlight w:val="none"/>
        </w:rPr>
      </w:pPr>
      <w:bookmarkStart w:id="2" w:name="_Toc25032666"/>
      <w:bookmarkStart w:id="3" w:name="_Toc189726853"/>
      <w:bookmarkStart w:id="4" w:name="_Toc522347554"/>
      <w:bookmarkStart w:id="5" w:name="_Toc521839351"/>
      <w:bookmarkStart w:id="6" w:name="_Toc163629751"/>
      <w:bookmarkStart w:id="7" w:name="_Toc142623417"/>
    </w:p>
    <w:p w14:paraId="6A1F7B42">
      <w:pPr>
        <w:pageBreakBefore w:val="0"/>
        <w:kinsoku/>
        <w:wordWrap/>
        <w:overflowPunct/>
        <w:topLinePunct w:val="0"/>
        <w:autoSpaceDE/>
        <w:autoSpaceDN/>
        <w:bidi w:val="0"/>
        <w:adjustRightInd/>
        <w:snapToGrid/>
        <w:spacing w:line="360" w:lineRule="auto"/>
        <w:ind w:firstLine="680"/>
        <w:jc w:val="center"/>
        <w:textAlignment w:val="auto"/>
        <w:outlineLvl w:val="0"/>
        <w:rPr>
          <w:rFonts w:hint="eastAsia" w:ascii="宋体" w:hAnsi="宋体" w:eastAsia="宋体" w:cs="宋体"/>
          <w:color w:val="auto"/>
          <w:spacing w:val="-10"/>
          <w:sz w:val="36"/>
          <w:szCs w:val="36"/>
          <w:highlight w:val="none"/>
        </w:rPr>
      </w:pPr>
    </w:p>
    <w:p w14:paraId="7FA4D885">
      <w:pPr>
        <w:pageBreakBefore w:val="0"/>
        <w:kinsoku/>
        <w:wordWrap/>
        <w:overflowPunct/>
        <w:topLinePunct w:val="0"/>
        <w:autoSpaceDE/>
        <w:autoSpaceDN/>
        <w:bidi w:val="0"/>
        <w:adjustRightInd/>
        <w:snapToGrid/>
        <w:spacing w:line="360" w:lineRule="auto"/>
        <w:ind w:firstLine="680"/>
        <w:jc w:val="center"/>
        <w:textAlignment w:val="auto"/>
        <w:outlineLvl w:val="0"/>
        <w:rPr>
          <w:rFonts w:hint="eastAsia" w:ascii="宋体" w:hAnsi="宋体" w:eastAsia="宋体" w:cs="宋体"/>
          <w:color w:val="auto"/>
          <w:spacing w:val="-10"/>
          <w:sz w:val="36"/>
          <w:szCs w:val="36"/>
          <w:highlight w:val="none"/>
        </w:rPr>
      </w:pPr>
    </w:p>
    <w:p w14:paraId="070D6C33">
      <w:pPr>
        <w:pageBreakBefore w:val="0"/>
        <w:kinsoku/>
        <w:wordWrap/>
        <w:overflowPunct/>
        <w:topLinePunct w:val="0"/>
        <w:autoSpaceDE/>
        <w:autoSpaceDN/>
        <w:bidi w:val="0"/>
        <w:adjustRightInd/>
        <w:snapToGrid/>
        <w:spacing w:line="360" w:lineRule="auto"/>
        <w:ind w:firstLine="680"/>
        <w:jc w:val="center"/>
        <w:textAlignment w:val="auto"/>
        <w:outlineLvl w:val="0"/>
        <w:rPr>
          <w:rFonts w:hint="eastAsia" w:ascii="宋体" w:hAnsi="宋体" w:eastAsia="宋体" w:cs="宋体"/>
          <w:color w:val="auto"/>
          <w:spacing w:val="-10"/>
          <w:sz w:val="36"/>
          <w:szCs w:val="36"/>
          <w:highlight w:val="none"/>
        </w:rPr>
      </w:pPr>
    </w:p>
    <w:p w14:paraId="1184CDE6">
      <w:pPr>
        <w:pageBreakBefore w:val="0"/>
        <w:kinsoku/>
        <w:wordWrap/>
        <w:overflowPunct/>
        <w:topLinePunct w:val="0"/>
        <w:autoSpaceDE/>
        <w:autoSpaceDN/>
        <w:bidi w:val="0"/>
        <w:adjustRightInd/>
        <w:snapToGrid/>
        <w:spacing w:line="360" w:lineRule="auto"/>
        <w:ind w:firstLine="680"/>
        <w:jc w:val="center"/>
        <w:textAlignment w:val="auto"/>
        <w:outlineLvl w:val="0"/>
        <w:rPr>
          <w:rFonts w:hint="eastAsia" w:ascii="宋体" w:hAnsi="宋体" w:eastAsia="宋体" w:cs="宋体"/>
          <w:color w:val="auto"/>
          <w:spacing w:val="-10"/>
          <w:sz w:val="36"/>
          <w:szCs w:val="36"/>
          <w:highlight w:val="none"/>
        </w:rPr>
      </w:pPr>
    </w:p>
    <w:p w14:paraId="5A378403">
      <w:pPr>
        <w:pageBreakBefore w:val="0"/>
        <w:kinsoku/>
        <w:wordWrap/>
        <w:overflowPunct/>
        <w:topLinePunct w:val="0"/>
        <w:autoSpaceDE/>
        <w:autoSpaceDN/>
        <w:bidi w:val="0"/>
        <w:adjustRightInd/>
        <w:snapToGrid/>
        <w:spacing w:line="360" w:lineRule="auto"/>
        <w:ind w:firstLine="680"/>
        <w:jc w:val="center"/>
        <w:textAlignment w:val="auto"/>
        <w:outlineLvl w:val="0"/>
        <w:rPr>
          <w:rFonts w:hint="eastAsia" w:ascii="宋体" w:hAnsi="宋体" w:eastAsia="宋体" w:cs="宋体"/>
          <w:color w:val="auto"/>
          <w:spacing w:val="-10"/>
          <w:sz w:val="36"/>
          <w:szCs w:val="36"/>
          <w:highlight w:val="none"/>
        </w:rPr>
      </w:pPr>
    </w:p>
    <w:p w14:paraId="3ED9729B">
      <w:pPr>
        <w:pageBreakBefore w:val="0"/>
        <w:kinsoku/>
        <w:wordWrap/>
        <w:overflowPunct/>
        <w:topLinePunct w:val="0"/>
        <w:autoSpaceDE/>
        <w:autoSpaceDN/>
        <w:bidi w:val="0"/>
        <w:adjustRightInd/>
        <w:snapToGrid/>
        <w:spacing w:line="360" w:lineRule="auto"/>
        <w:ind w:firstLine="680"/>
        <w:jc w:val="center"/>
        <w:textAlignment w:val="auto"/>
        <w:outlineLvl w:val="0"/>
        <w:rPr>
          <w:rFonts w:hint="eastAsia" w:ascii="宋体" w:hAnsi="宋体" w:eastAsia="宋体" w:cs="宋体"/>
          <w:color w:val="auto"/>
          <w:spacing w:val="-10"/>
          <w:sz w:val="36"/>
          <w:szCs w:val="36"/>
          <w:highlight w:val="none"/>
        </w:rPr>
      </w:pPr>
    </w:p>
    <w:p w14:paraId="1CB937A3">
      <w:pPr>
        <w:pageBreakBefore w:val="0"/>
        <w:kinsoku/>
        <w:wordWrap/>
        <w:overflowPunct/>
        <w:topLinePunct w:val="0"/>
        <w:autoSpaceDE/>
        <w:autoSpaceDN/>
        <w:bidi w:val="0"/>
        <w:adjustRightInd/>
        <w:snapToGrid/>
        <w:spacing w:line="360" w:lineRule="auto"/>
        <w:ind w:firstLine="680"/>
        <w:jc w:val="center"/>
        <w:textAlignment w:val="auto"/>
        <w:outlineLvl w:val="0"/>
        <w:rPr>
          <w:rFonts w:hint="eastAsia" w:ascii="宋体" w:hAnsi="宋体" w:eastAsia="宋体" w:cs="宋体"/>
          <w:color w:val="auto"/>
          <w:spacing w:val="-10"/>
          <w:sz w:val="36"/>
          <w:szCs w:val="36"/>
          <w:highlight w:val="none"/>
        </w:rPr>
      </w:pPr>
    </w:p>
    <w:p w14:paraId="29DFDF24">
      <w:pPr>
        <w:pageBreakBefore w:val="0"/>
        <w:kinsoku/>
        <w:wordWrap/>
        <w:overflowPunct/>
        <w:topLinePunct w:val="0"/>
        <w:autoSpaceDE/>
        <w:autoSpaceDN/>
        <w:bidi w:val="0"/>
        <w:adjustRightInd/>
        <w:snapToGrid/>
        <w:spacing w:line="360" w:lineRule="auto"/>
        <w:ind w:firstLine="680"/>
        <w:jc w:val="center"/>
        <w:textAlignment w:val="auto"/>
        <w:outlineLvl w:val="0"/>
        <w:rPr>
          <w:rFonts w:hint="eastAsia" w:ascii="宋体" w:hAnsi="宋体" w:eastAsia="宋体" w:cs="宋体"/>
          <w:color w:val="auto"/>
          <w:spacing w:val="-10"/>
          <w:sz w:val="36"/>
          <w:szCs w:val="36"/>
          <w:highlight w:val="none"/>
        </w:rPr>
      </w:pPr>
    </w:p>
    <w:p w14:paraId="2BB40FF1">
      <w:pPr>
        <w:pageBreakBefore w:val="0"/>
        <w:kinsoku/>
        <w:wordWrap/>
        <w:overflowPunct/>
        <w:topLinePunct w:val="0"/>
        <w:autoSpaceDE/>
        <w:autoSpaceDN/>
        <w:bidi w:val="0"/>
        <w:adjustRightInd/>
        <w:snapToGrid/>
        <w:spacing w:line="360" w:lineRule="auto"/>
        <w:ind w:firstLine="680"/>
        <w:jc w:val="center"/>
        <w:textAlignment w:val="auto"/>
        <w:outlineLvl w:val="0"/>
        <w:rPr>
          <w:rFonts w:hint="eastAsia" w:ascii="宋体" w:hAnsi="宋体" w:eastAsia="宋体" w:cs="宋体"/>
          <w:color w:val="auto"/>
          <w:spacing w:val="-10"/>
          <w:sz w:val="36"/>
          <w:szCs w:val="36"/>
          <w:highlight w:val="none"/>
        </w:rPr>
      </w:pPr>
      <w:r>
        <w:rPr>
          <w:rFonts w:hint="eastAsia" w:ascii="宋体" w:hAnsi="宋体" w:eastAsia="宋体" w:cs="宋体"/>
          <w:color w:val="auto"/>
          <w:spacing w:val="-10"/>
          <w:sz w:val="36"/>
          <w:szCs w:val="36"/>
          <w:highlight w:val="none"/>
        </w:rPr>
        <w:t>第二章 竞争性谈判须知</w:t>
      </w:r>
    </w:p>
    <w:tbl>
      <w:tblPr>
        <w:tblStyle w:val="29"/>
        <w:tblW w:w="971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0"/>
        <w:gridCol w:w="8875"/>
      </w:tblGrid>
      <w:tr w14:paraId="4786BB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1" w:hRule="atLeast"/>
        </w:trPr>
        <w:tc>
          <w:tcPr>
            <w:tcW w:w="840" w:type="dxa"/>
            <w:noWrap w:val="0"/>
            <w:vAlign w:val="center"/>
          </w:tcPr>
          <w:p w14:paraId="4BF7879B">
            <w:pPr>
              <w:pageBreakBefore w:val="0"/>
              <w:kinsoku/>
              <w:wordWrap/>
              <w:overflowPunct/>
              <w:topLinePunct w:val="0"/>
              <w:autoSpaceDN/>
              <w:bidi w:val="0"/>
              <w:adjustRightInd/>
              <w:snapToGrid/>
              <w:spacing w:line="360" w:lineRule="auto"/>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项目</w:t>
            </w:r>
          </w:p>
        </w:tc>
        <w:tc>
          <w:tcPr>
            <w:tcW w:w="8875" w:type="dxa"/>
            <w:noWrap w:val="0"/>
            <w:vAlign w:val="center"/>
          </w:tcPr>
          <w:p w14:paraId="76AF311C">
            <w:pPr>
              <w:pageBreakBefore w:val="0"/>
              <w:kinsoku/>
              <w:wordWrap/>
              <w:overflowPunct/>
              <w:topLinePunct w:val="0"/>
              <w:autoSpaceDN/>
              <w:bidi w:val="0"/>
              <w:adjustRightInd/>
              <w:snapToGrid/>
              <w:spacing w:line="360" w:lineRule="auto"/>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内    容</w:t>
            </w:r>
          </w:p>
        </w:tc>
      </w:tr>
      <w:tr w14:paraId="2707A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3" w:hRule="atLeast"/>
        </w:trPr>
        <w:tc>
          <w:tcPr>
            <w:tcW w:w="840" w:type="dxa"/>
            <w:noWrap w:val="0"/>
            <w:vAlign w:val="center"/>
          </w:tcPr>
          <w:p w14:paraId="3092009E">
            <w:pPr>
              <w:pageBreakBefore w:val="0"/>
              <w:kinsoku/>
              <w:wordWrap/>
              <w:overflowPunct/>
              <w:topLinePunct w:val="0"/>
              <w:autoSpaceDN/>
              <w:bidi w:val="0"/>
              <w:adjustRightInd/>
              <w:snapToGrid/>
              <w:spacing w:line="360" w:lineRule="auto"/>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w:t>
            </w:r>
          </w:p>
        </w:tc>
        <w:tc>
          <w:tcPr>
            <w:tcW w:w="8875" w:type="dxa"/>
            <w:noWrap w:val="0"/>
            <w:vAlign w:val="center"/>
          </w:tcPr>
          <w:p w14:paraId="54773CEB">
            <w:pPr>
              <w:pageBreakBefore w:val="0"/>
              <w:numPr>
                <w:ilvl w:val="0"/>
                <w:numId w:val="0"/>
              </w:numPr>
              <w:kinsoku/>
              <w:wordWrap/>
              <w:overflowPunct/>
              <w:topLinePunct w:val="0"/>
              <w:autoSpaceDN/>
              <w:bidi w:val="0"/>
              <w:adjustRightInd/>
              <w:snapToGrid/>
              <w:spacing w:line="360" w:lineRule="auto"/>
              <w:ind w:leftChars="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1）</w:t>
            </w:r>
            <w:r>
              <w:rPr>
                <w:rFonts w:hint="eastAsia" w:ascii="宋体" w:hAnsi="宋体" w:eastAsia="宋体" w:cs="宋体"/>
                <w:b w:val="0"/>
                <w:bCs/>
                <w:color w:val="auto"/>
                <w:sz w:val="28"/>
                <w:szCs w:val="28"/>
                <w:highlight w:val="none"/>
              </w:rPr>
              <w:t>项目名称：</w:t>
            </w:r>
            <w:r>
              <w:rPr>
                <w:rFonts w:hint="eastAsia" w:ascii="宋体" w:hAnsi="宋体" w:eastAsia="宋体" w:cs="宋体"/>
                <w:b w:val="0"/>
                <w:bCs/>
                <w:color w:val="auto"/>
                <w:kern w:val="2"/>
                <w:sz w:val="28"/>
                <w:szCs w:val="28"/>
                <w:highlight w:val="none"/>
                <w:lang w:eastAsia="zh-CN"/>
              </w:rPr>
              <w:t>度假区公共区域环卫保洁和绿化管养服务</w:t>
            </w:r>
          </w:p>
          <w:p w14:paraId="22495393">
            <w:pPr>
              <w:pageBreakBefore w:val="0"/>
              <w:numPr>
                <w:ilvl w:val="0"/>
                <w:numId w:val="0"/>
              </w:numPr>
              <w:kinsoku/>
              <w:wordWrap/>
              <w:overflowPunct/>
              <w:topLinePunct w:val="0"/>
              <w:autoSpaceDN/>
              <w:bidi w:val="0"/>
              <w:adjustRightInd/>
              <w:snapToGrid/>
              <w:spacing w:line="360" w:lineRule="auto"/>
              <w:ind w:leftChars="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2）合同履行期限</w:t>
            </w:r>
            <w:r>
              <w:rPr>
                <w:rFonts w:hint="eastAsia" w:ascii="宋体" w:hAnsi="宋体" w:eastAsia="宋体" w:cs="宋体"/>
                <w:b w:val="0"/>
                <w:bCs/>
                <w:color w:val="auto"/>
                <w:sz w:val="28"/>
                <w:szCs w:val="28"/>
                <w:highlight w:val="none"/>
              </w:rPr>
              <w:t>：</w:t>
            </w:r>
            <w:r>
              <w:rPr>
                <w:rFonts w:hint="eastAsia" w:ascii="宋体" w:hAnsi="宋体" w:eastAsia="宋体" w:cs="宋体"/>
                <w:b w:val="0"/>
                <w:bCs/>
                <w:color w:val="auto"/>
                <w:sz w:val="28"/>
                <w:szCs w:val="28"/>
                <w:highlight w:val="none"/>
                <w:lang w:val="en-US" w:eastAsia="zh-CN"/>
              </w:rPr>
              <w:t>1年</w:t>
            </w:r>
          </w:p>
        </w:tc>
      </w:tr>
      <w:tr w14:paraId="6A65E9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8" w:hRule="atLeast"/>
        </w:trPr>
        <w:tc>
          <w:tcPr>
            <w:tcW w:w="840" w:type="dxa"/>
            <w:noWrap w:val="0"/>
            <w:vAlign w:val="center"/>
          </w:tcPr>
          <w:p w14:paraId="50EC06CC">
            <w:pPr>
              <w:pageBreakBefore w:val="0"/>
              <w:kinsoku/>
              <w:wordWrap/>
              <w:overflowPunct/>
              <w:topLinePunct w:val="0"/>
              <w:autoSpaceDN/>
              <w:bidi w:val="0"/>
              <w:adjustRightInd/>
              <w:snapToGrid/>
              <w:spacing w:line="360" w:lineRule="auto"/>
              <w:jc w:val="center"/>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2</w:t>
            </w:r>
          </w:p>
        </w:tc>
        <w:tc>
          <w:tcPr>
            <w:tcW w:w="8875" w:type="dxa"/>
            <w:noWrap w:val="0"/>
            <w:vAlign w:val="center"/>
          </w:tcPr>
          <w:p w14:paraId="2EE6B67C">
            <w:pPr>
              <w:pageBreakBefore w:val="0"/>
              <w:kinsoku/>
              <w:wordWrap/>
              <w:overflowPunct/>
              <w:topLinePunct w:val="0"/>
              <w:autoSpaceDN/>
              <w:bidi w:val="0"/>
              <w:adjustRightInd/>
              <w:snapToGrid/>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响应文件有效期：供应商提交响应文件截止之日起</w:t>
            </w:r>
            <w:r>
              <w:rPr>
                <w:rFonts w:hint="eastAsia" w:ascii="宋体" w:hAnsi="宋体" w:eastAsia="宋体" w:cs="宋体"/>
                <w:b w:val="0"/>
                <w:bCs/>
                <w:color w:val="auto"/>
                <w:sz w:val="28"/>
                <w:szCs w:val="28"/>
                <w:highlight w:val="none"/>
                <w:u w:val="single"/>
                <w:lang w:val="en-US" w:eastAsia="zh-CN"/>
              </w:rPr>
              <w:t>9</w:t>
            </w:r>
            <w:r>
              <w:rPr>
                <w:rFonts w:hint="eastAsia" w:ascii="宋体" w:hAnsi="宋体" w:eastAsia="宋体" w:cs="宋体"/>
                <w:b w:val="0"/>
                <w:bCs/>
                <w:color w:val="auto"/>
                <w:sz w:val="28"/>
                <w:szCs w:val="28"/>
                <w:highlight w:val="none"/>
                <w:u w:val="single"/>
              </w:rPr>
              <w:t>0</w:t>
            </w:r>
            <w:r>
              <w:rPr>
                <w:rFonts w:hint="eastAsia" w:ascii="宋体" w:hAnsi="宋体" w:eastAsia="宋体" w:cs="宋体"/>
                <w:b w:val="0"/>
                <w:bCs/>
                <w:color w:val="auto"/>
                <w:sz w:val="28"/>
                <w:szCs w:val="28"/>
                <w:highlight w:val="none"/>
              </w:rPr>
              <w:t>天。</w:t>
            </w:r>
          </w:p>
        </w:tc>
      </w:tr>
      <w:tr w14:paraId="6B0526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trPr>
        <w:tc>
          <w:tcPr>
            <w:tcW w:w="840" w:type="dxa"/>
            <w:noWrap w:val="0"/>
            <w:vAlign w:val="center"/>
          </w:tcPr>
          <w:p w14:paraId="3A8B98FC">
            <w:pPr>
              <w:pageBreakBefore w:val="0"/>
              <w:kinsoku/>
              <w:wordWrap/>
              <w:overflowPunct/>
              <w:topLinePunct w:val="0"/>
              <w:autoSpaceDN/>
              <w:bidi w:val="0"/>
              <w:adjustRightInd/>
              <w:snapToGrid/>
              <w:spacing w:line="360" w:lineRule="auto"/>
              <w:jc w:val="center"/>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3</w:t>
            </w:r>
          </w:p>
        </w:tc>
        <w:tc>
          <w:tcPr>
            <w:tcW w:w="8875" w:type="dxa"/>
            <w:noWrap w:val="0"/>
            <w:vAlign w:val="center"/>
          </w:tcPr>
          <w:p w14:paraId="21E60586">
            <w:pPr>
              <w:pageBreakBefore w:val="0"/>
              <w:kinsoku/>
              <w:wordWrap/>
              <w:overflowPunct/>
              <w:topLinePunct w:val="0"/>
              <w:autoSpaceDN/>
              <w:bidi w:val="0"/>
              <w:adjustRightInd/>
              <w:snapToGrid/>
              <w:spacing w:line="360" w:lineRule="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响应文件份数：中标单位须于中标通知书发出3个工作日内提供</w:t>
            </w:r>
            <w:r>
              <w:rPr>
                <w:rFonts w:hint="eastAsia" w:ascii="宋体" w:hAnsi="宋体" w:eastAsia="宋体" w:cs="宋体"/>
                <w:b w:val="0"/>
                <w:bCs/>
                <w:color w:val="auto"/>
                <w:sz w:val="28"/>
                <w:szCs w:val="28"/>
                <w:highlight w:val="none"/>
                <w:lang w:val="en-US" w:eastAsia="zh-CN"/>
              </w:rPr>
              <w:t>3</w:t>
            </w:r>
            <w:r>
              <w:rPr>
                <w:rFonts w:hint="eastAsia" w:ascii="宋体" w:hAnsi="宋体" w:eastAsia="宋体" w:cs="宋体"/>
                <w:b w:val="0"/>
                <w:bCs/>
                <w:color w:val="auto"/>
                <w:sz w:val="28"/>
                <w:szCs w:val="28"/>
                <w:highlight w:val="none"/>
              </w:rPr>
              <w:t>份纸质版投标文件(胶装)</w:t>
            </w:r>
            <w:r>
              <w:rPr>
                <w:rFonts w:hint="eastAsia" w:ascii="宋体" w:hAnsi="宋体" w:eastAsia="宋体" w:cs="宋体"/>
                <w:b w:val="0"/>
                <w:bCs/>
                <w:color w:val="auto"/>
                <w:sz w:val="28"/>
                <w:szCs w:val="28"/>
                <w:highlight w:val="none"/>
                <w:lang w:eastAsia="zh-CN"/>
              </w:rPr>
              <w:t>，</w:t>
            </w:r>
            <w:r>
              <w:rPr>
                <w:rFonts w:hint="eastAsia" w:ascii="宋体" w:hAnsi="宋体" w:eastAsia="宋体" w:cs="宋体"/>
                <w:b w:val="0"/>
                <w:bCs/>
                <w:color w:val="auto"/>
                <w:sz w:val="28"/>
                <w:szCs w:val="28"/>
                <w:highlight w:val="none"/>
              </w:rPr>
              <w:t>递交至</w:t>
            </w:r>
            <w:r>
              <w:rPr>
                <w:rFonts w:hint="eastAsia" w:ascii="宋体" w:hAnsi="宋体" w:eastAsia="宋体" w:cs="宋体"/>
                <w:b w:val="0"/>
                <w:bCs/>
                <w:color w:val="auto"/>
                <w:sz w:val="28"/>
                <w:szCs w:val="28"/>
                <w:highlight w:val="none"/>
                <w:lang w:eastAsia="zh-CN"/>
              </w:rPr>
              <w:t>采购</w:t>
            </w:r>
            <w:r>
              <w:rPr>
                <w:rFonts w:hint="eastAsia" w:ascii="宋体" w:hAnsi="宋体" w:eastAsia="宋体" w:cs="宋体"/>
                <w:b w:val="0"/>
                <w:bCs/>
                <w:color w:val="auto"/>
                <w:sz w:val="28"/>
                <w:szCs w:val="28"/>
                <w:highlight w:val="none"/>
              </w:rPr>
              <w:t>单位</w:t>
            </w:r>
            <w:r>
              <w:rPr>
                <w:rFonts w:hint="eastAsia" w:ascii="宋体" w:hAnsi="宋体" w:eastAsia="宋体" w:cs="宋体"/>
                <w:b w:val="0"/>
                <w:bCs/>
                <w:color w:val="auto"/>
                <w:sz w:val="28"/>
                <w:szCs w:val="28"/>
                <w:highlight w:val="none"/>
                <w:lang w:eastAsia="zh-CN"/>
              </w:rPr>
              <w:t>。</w:t>
            </w:r>
          </w:p>
        </w:tc>
      </w:tr>
      <w:tr w14:paraId="4A19FD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2" w:hRule="atLeast"/>
        </w:trPr>
        <w:tc>
          <w:tcPr>
            <w:tcW w:w="840" w:type="dxa"/>
            <w:noWrap w:val="0"/>
            <w:vAlign w:val="center"/>
          </w:tcPr>
          <w:p w14:paraId="06F97814">
            <w:pPr>
              <w:pageBreakBefore w:val="0"/>
              <w:kinsoku/>
              <w:wordWrap/>
              <w:overflowPunct/>
              <w:topLinePunct w:val="0"/>
              <w:autoSpaceDN/>
              <w:bidi w:val="0"/>
              <w:adjustRightInd/>
              <w:snapToGrid/>
              <w:spacing w:line="360" w:lineRule="auto"/>
              <w:jc w:val="center"/>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4</w:t>
            </w:r>
          </w:p>
        </w:tc>
        <w:tc>
          <w:tcPr>
            <w:tcW w:w="8875" w:type="dxa"/>
            <w:noWrap w:val="0"/>
            <w:vAlign w:val="center"/>
          </w:tcPr>
          <w:p w14:paraId="7311513C">
            <w:pPr>
              <w:pStyle w:val="299"/>
              <w:pageBreakBefore w:val="0"/>
              <w:shd w:val="clear" w:color="auto" w:fill="FFFFFF"/>
              <w:kinsoku/>
              <w:wordWrap/>
              <w:overflowPunct/>
              <w:topLinePunct w:val="0"/>
              <w:autoSpaceDN/>
              <w:bidi w:val="0"/>
              <w:adjustRightInd/>
              <w:snapToGrid/>
              <w:spacing w:before="0" w:beforeAutospacing="0" w:after="0" w:afterAutospacing="0" w:line="360" w:lineRule="auto"/>
              <w:rPr>
                <w:rFonts w:hint="eastAsia" w:ascii="宋体" w:hAnsi="宋体" w:eastAsia="宋体" w:cs="宋体"/>
                <w:b w:val="0"/>
                <w:bCs/>
                <w:color w:val="auto"/>
                <w:sz w:val="28"/>
                <w:szCs w:val="28"/>
                <w:highlight w:val="none"/>
                <w:u w:val="single"/>
              </w:rPr>
            </w:pPr>
            <w:r>
              <w:rPr>
                <w:rFonts w:hint="eastAsia" w:ascii="宋体" w:hAnsi="宋体" w:eastAsia="宋体" w:cs="宋体"/>
                <w:b w:val="0"/>
                <w:bCs/>
                <w:color w:val="auto"/>
                <w:sz w:val="28"/>
                <w:szCs w:val="28"/>
                <w:highlight w:val="none"/>
                <w:lang w:val="en-US" w:eastAsia="zh-CN" w:bidi="ar-SA"/>
              </w:rPr>
              <w:t>本项目最高限价：389.88万元;最后报价超过最高投标限价的为无效报价，按照无效响应处理。</w:t>
            </w:r>
            <w:r>
              <w:rPr>
                <w:rFonts w:hint="eastAsia" w:ascii="宋体" w:hAnsi="宋体" w:eastAsia="宋体" w:cs="宋体"/>
                <w:color w:val="auto"/>
                <w:sz w:val="28"/>
                <w:szCs w:val="28"/>
                <w:highlight w:val="none"/>
                <w:lang w:val="en-US" w:eastAsia="zh-CN"/>
              </w:rPr>
              <w:t>所有供应商的第二次报价（最终报价）不得高于第一次报价，否则按废标处理。</w:t>
            </w:r>
          </w:p>
        </w:tc>
      </w:tr>
      <w:tr w14:paraId="20B830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2" w:hRule="atLeast"/>
        </w:trPr>
        <w:tc>
          <w:tcPr>
            <w:tcW w:w="840" w:type="dxa"/>
            <w:noWrap w:val="0"/>
            <w:vAlign w:val="center"/>
          </w:tcPr>
          <w:p w14:paraId="3B07D6EC">
            <w:pPr>
              <w:pageBreakBefore w:val="0"/>
              <w:kinsoku/>
              <w:wordWrap/>
              <w:overflowPunct/>
              <w:topLinePunct w:val="0"/>
              <w:autoSpaceDN/>
              <w:bidi w:val="0"/>
              <w:adjustRightInd/>
              <w:snapToGrid/>
              <w:spacing w:line="360" w:lineRule="auto"/>
              <w:jc w:val="center"/>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5</w:t>
            </w:r>
          </w:p>
        </w:tc>
        <w:tc>
          <w:tcPr>
            <w:tcW w:w="8875" w:type="dxa"/>
            <w:noWrap w:val="0"/>
            <w:vAlign w:val="center"/>
          </w:tcPr>
          <w:p w14:paraId="09CE9A22">
            <w:pPr>
              <w:pageBreakBefore w:val="0"/>
              <w:kinsoku/>
              <w:wordWrap/>
              <w:overflowPunct/>
              <w:topLinePunct w:val="0"/>
              <w:autoSpaceDN/>
              <w:bidi w:val="0"/>
              <w:adjustRightInd/>
              <w:snapToGrid/>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中</w:t>
            </w:r>
            <w:r>
              <w:rPr>
                <w:rFonts w:hint="eastAsia" w:ascii="宋体" w:hAnsi="宋体" w:eastAsia="宋体" w:cs="宋体"/>
                <w:b w:val="0"/>
                <w:bCs/>
                <w:color w:val="auto"/>
                <w:sz w:val="28"/>
                <w:szCs w:val="28"/>
                <w:highlight w:val="none"/>
              </w:rPr>
              <w:t>标</w:t>
            </w:r>
            <w:r>
              <w:rPr>
                <w:rFonts w:hint="eastAsia" w:ascii="宋体" w:hAnsi="宋体" w:eastAsia="宋体" w:cs="宋体"/>
                <w:b w:val="0"/>
                <w:bCs/>
                <w:color w:val="auto"/>
                <w:sz w:val="28"/>
                <w:szCs w:val="28"/>
                <w:highlight w:val="none"/>
                <w:lang w:val="en-US" w:eastAsia="zh-CN"/>
              </w:rPr>
              <w:t>人</w:t>
            </w:r>
            <w:r>
              <w:rPr>
                <w:rFonts w:hint="eastAsia" w:ascii="宋体" w:hAnsi="宋体" w:eastAsia="宋体" w:cs="宋体"/>
                <w:b w:val="0"/>
                <w:bCs/>
                <w:color w:val="auto"/>
                <w:sz w:val="28"/>
                <w:szCs w:val="28"/>
                <w:highlight w:val="none"/>
              </w:rPr>
              <w:t>须</w:t>
            </w:r>
            <w:r>
              <w:rPr>
                <w:rFonts w:hint="eastAsia" w:ascii="宋体" w:hAnsi="宋体" w:eastAsia="宋体" w:cs="宋体"/>
                <w:b w:val="0"/>
                <w:bCs/>
                <w:color w:val="auto"/>
                <w:sz w:val="28"/>
                <w:szCs w:val="28"/>
                <w:highlight w:val="none"/>
                <w:lang w:val="en-US" w:eastAsia="zh-CN"/>
              </w:rPr>
              <w:t>按</w:t>
            </w:r>
            <w:r>
              <w:rPr>
                <w:rFonts w:hint="eastAsia" w:ascii="宋体" w:hAnsi="宋体" w:eastAsia="宋体" w:cs="宋体"/>
                <w:b w:val="0"/>
                <w:bCs/>
                <w:color w:val="auto"/>
                <w:sz w:val="28"/>
                <w:szCs w:val="28"/>
                <w:highlight w:val="none"/>
              </w:rPr>
              <w:t>采购人指定地点</w:t>
            </w:r>
            <w:r>
              <w:rPr>
                <w:rFonts w:hint="eastAsia" w:ascii="宋体" w:hAnsi="宋体" w:eastAsia="宋体" w:cs="宋体"/>
                <w:b w:val="0"/>
                <w:bCs/>
                <w:color w:val="auto"/>
                <w:sz w:val="28"/>
                <w:szCs w:val="28"/>
                <w:highlight w:val="none"/>
                <w:lang w:val="en-US" w:eastAsia="zh-CN"/>
              </w:rPr>
              <w:t>提交服务</w:t>
            </w:r>
            <w:r>
              <w:rPr>
                <w:rFonts w:hint="eastAsia" w:ascii="宋体" w:hAnsi="宋体" w:eastAsia="宋体" w:cs="宋体"/>
                <w:b w:val="0"/>
                <w:bCs/>
                <w:color w:val="auto"/>
                <w:sz w:val="28"/>
                <w:szCs w:val="28"/>
                <w:highlight w:val="none"/>
              </w:rPr>
              <w:t>，</w:t>
            </w:r>
            <w:r>
              <w:rPr>
                <w:rFonts w:hint="eastAsia" w:ascii="宋体" w:hAnsi="宋体" w:eastAsia="宋体" w:cs="宋体"/>
                <w:b w:val="0"/>
                <w:bCs/>
                <w:color w:val="auto"/>
                <w:sz w:val="28"/>
                <w:szCs w:val="28"/>
                <w:highlight w:val="none"/>
                <w:lang w:val="en-US" w:eastAsia="zh-CN"/>
              </w:rPr>
              <w:t>报价须</w:t>
            </w:r>
            <w:r>
              <w:rPr>
                <w:rFonts w:hint="eastAsia" w:ascii="宋体" w:hAnsi="宋体" w:eastAsia="宋体" w:cs="宋体"/>
                <w:b w:val="0"/>
                <w:bCs/>
                <w:color w:val="auto"/>
                <w:sz w:val="28"/>
                <w:szCs w:val="28"/>
                <w:highlight w:val="none"/>
              </w:rPr>
              <w:t>包含</w:t>
            </w:r>
            <w:r>
              <w:rPr>
                <w:rFonts w:hint="eastAsia" w:ascii="宋体" w:hAnsi="宋体" w:eastAsia="宋体" w:cs="宋体"/>
                <w:b w:val="0"/>
                <w:bCs/>
                <w:color w:val="auto"/>
                <w:sz w:val="28"/>
                <w:szCs w:val="28"/>
                <w:highlight w:val="none"/>
                <w:lang w:val="en-US" w:eastAsia="zh-CN"/>
              </w:rPr>
              <w:t>本项目服务</w:t>
            </w:r>
            <w:r>
              <w:rPr>
                <w:rFonts w:hint="eastAsia" w:ascii="宋体" w:hAnsi="宋体" w:eastAsia="宋体" w:cs="宋体"/>
                <w:b w:val="0"/>
                <w:bCs/>
                <w:color w:val="auto"/>
                <w:sz w:val="28"/>
                <w:szCs w:val="28"/>
                <w:highlight w:val="none"/>
                <w:lang w:eastAsia="zh-CN"/>
              </w:rPr>
              <w:t>、</w:t>
            </w:r>
            <w:r>
              <w:rPr>
                <w:rFonts w:hint="eastAsia" w:ascii="宋体" w:hAnsi="宋体" w:eastAsia="宋体" w:cs="宋体"/>
                <w:b w:val="0"/>
                <w:bCs/>
                <w:color w:val="auto"/>
                <w:sz w:val="28"/>
                <w:szCs w:val="28"/>
                <w:highlight w:val="none"/>
                <w:lang w:val="en-US" w:eastAsia="zh-CN"/>
              </w:rPr>
              <w:t>保险、规费税金、</w:t>
            </w:r>
            <w:r>
              <w:rPr>
                <w:rFonts w:hint="eastAsia" w:ascii="宋体" w:hAnsi="宋体" w:eastAsia="宋体" w:cs="宋体"/>
                <w:b w:val="0"/>
                <w:bCs/>
                <w:color w:val="auto"/>
                <w:sz w:val="28"/>
                <w:szCs w:val="28"/>
                <w:highlight w:val="none"/>
              </w:rPr>
              <w:t>代理服务费等的全部</w:t>
            </w:r>
            <w:r>
              <w:rPr>
                <w:rFonts w:hint="eastAsia" w:ascii="宋体" w:hAnsi="宋体" w:eastAsia="宋体" w:cs="宋体"/>
                <w:b w:val="0"/>
                <w:bCs/>
                <w:color w:val="auto"/>
                <w:sz w:val="28"/>
                <w:szCs w:val="28"/>
                <w:highlight w:val="none"/>
                <w:lang w:val="en-US" w:eastAsia="zh-CN"/>
              </w:rPr>
              <w:t>所有</w:t>
            </w:r>
            <w:r>
              <w:rPr>
                <w:rFonts w:hint="eastAsia" w:ascii="宋体" w:hAnsi="宋体" w:eastAsia="宋体" w:cs="宋体"/>
                <w:b w:val="0"/>
                <w:bCs/>
                <w:color w:val="auto"/>
                <w:sz w:val="28"/>
                <w:szCs w:val="28"/>
                <w:highlight w:val="none"/>
              </w:rPr>
              <w:t>费用。即采购人在按照合同规定的付款方式和金额支付完</w:t>
            </w:r>
            <w:r>
              <w:rPr>
                <w:rFonts w:hint="eastAsia" w:ascii="宋体" w:hAnsi="宋体" w:eastAsia="宋体" w:cs="宋体"/>
                <w:b w:val="0"/>
                <w:bCs/>
                <w:color w:val="auto"/>
                <w:sz w:val="28"/>
                <w:szCs w:val="28"/>
                <w:highlight w:val="none"/>
                <w:lang w:val="en-US" w:eastAsia="zh-CN"/>
              </w:rPr>
              <w:t>服务费</w:t>
            </w:r>
            <w:r>
              <w:rPr>
                <w:rFonts w:hint="eastAsia" w:ascii="宋体" w:hAnsi="宋体" w:eastAsia="宋体" w:cs="宋体"/>
                <w:b w:val="0"/>
                <w:bCs/>
                <w:color w:val="auto"/>
                <w:sz w:val="28"/>
                <w:szCs w:val="28"/>
                <w:highlight w:val="none"/>
              </w:rPr>
              <w:t>后，不承担任何其他或后续费用。采购人有权核实报价及税则真实性，如发现不实，则视同投标人提供虚假材料谋取中标、成交。</w:t>
            </w:r>
          </w:p>
        </w:tc>
      </w:tr>
      <w:tr w14:paraId="16E75E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trPr>
        <w:tc>
          <w:tcPr>
            <w:tcW w:w="840" w:type="dxa"/>
            <w:noWrap w:val="0"/>
            <w:vAlign w:val="center"/>
          </w:tcPr>
          <w:p w14:paraId="027C5224">
            <w:pPr>
              <w:pageBreakBefore w:val="0"/>
              <w:kinsoku/>
              <w:wordWrap/>
              <w:overflowPunct/>
              <w:topLinePunct w:val="0"/>
              <w:autoSpaceDN/>
              <w:bidi w:val="0"/>
              <w:adjustRightInd/>
              <w:snapToGrid/>
              <w:spacing w:line="360" w:lineRule="auto"/>
              <w:jc w:val="center"/>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val="en-US" w:eastAsia="zh-CN"/>
              </w:rPr>
              <w:t>6</w:t>
            </w:r>
          </w:p>
        </w:tc>
        <w:tc>
          <w:tcPr>
            <w:tcW w:w="8875" w:type="dxa"/>
            <w:noWrap w:val="0"/>
            <w:vAlign w:val="center"/>
          </w:tcPr>
          <w:p w14:paraId="64850A17">
            <w:pPr>
              <w:pageBreakBefore w:val="0"/>
              <w:widowControl/>
              <w:kinsoku/>
              <w:wordWrap/>
              <w:overflowPunct/>
              <w:topLinePunct w:val="0"/>
              <w:autoSpaceDN/>
              <w:bidi w:val="0"/>
              <w:adjustRightInd/>
              <w:snapToGrid/>
              <w:spacing w:line="360" w:lineRule="auto"/>
              <w:rPr>
                <w:rFonts w:hint="eastAsia" w:ascii="宋体" w:hAnsi="宋体" w:eastAsia="宋体" w:cs="宋体"/>
                <w:b w:val="0"/>
                <w:bCs/>
                <w:color w:val="auto"/>
                <w:sz w:val="28"/>
                <w:szCs w:val="28"/>
                <w:highlight w:val="none"/>
                <w:lang w:bidi="ar"/>
              </w:rPr>
            </w:pPr>
            <w:r>
              <w:rPr>
                <w:rFonts w:hint="eastAsia" w:ascii="宋体" w:hAnsi="宋体" w:eastAsia="宋体" w:cs="宋体"/>
                <w:b w:val="0"/>
                <w:bCs/>
                <w:color w:val="auto"/>
                <w:sz w:val="28"/>
                <w:szCs w:val="28"/>
                <w:highlight w:val="none"/>
                <w:lang w:bidi="ar"/>
              </w:rPr>
              <w:t>信用承诺制：</w:t>
            </w:r>
          </w:p>
          <w:p w14:paraId="1C76983D">
            <w:pPr>
              <w:pageBreakBefore w:val="0"/>
              <w:kinsoku/>
              <w:wordWrap/>
              <w:overflowPunct/>
              <w:topLinePunct w:val="0"/>
              <w:autoSpaceDN/>
              <w:bidi w:val="0"/>
              <w:adjustRightInd/>
              <w:snapToGrid/>
              <w:spacing w:line="360" w:lineRule="auto"/>
              <w:ind w:firstLine="420"/>
              <w:jc w:val="lef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p>
          <w:p w14:paraId="5DA22E87">
            <w:pPr>
              <w:pageBreakBefore w:val="0"/>
              <w:kinsoku/>
              <w:wordWrap/>
              <w:overflowPunct/>
              <w:topLinePunct w:val="0"/>
              <w:autoSpaceDN/>
              <w:bidi w:val="0"/>
              <w:adjustRightInd/>
              <w:snapToGrid/>
              <w:spacing w:line="360" w:lineRule="auto"/>
              <w:jc w:val="lef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提交。</w:t>
            </w:r>
          </w:p>
          <w:p w14:paraId="5B32AB96">
            <w:pPr>
              <w:pageBreakBefore w:val="0"/>
              <w:kinsoku/>
              <w:wordWrap/>
              <w:overflowPunct/>
              <w:topLinePunct w:val="0"/>
              <w:autoSpaceDN/>
              <w:bidi w:val="0"/>
              <w:adjustRightInd/>
              <w:snapToGrid/>
              <w:spacing w:line="360" w:lineRule="auto"/>
              <w:ind w:firstLine="420"/>
              <w:jc w:val="lef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在政府采购资格审查环节，供应商只需提供书面《南京市政府采购供应商信用记录表暨信用承诺书》，即可替代以下证明材料:</w:t>
            </w:r>
          </w:p>
          <w:p w14:paraId="170C4AD4">
            <w:pPr>
              <w:pageBreakBefore w:val="0"/>
              <w:kinsoku/>
              <w:wordWrap/>
              <w:overflowPunct/>
              <w:topLinePunct w:val="0"/>
              <w:autoSpaceDN/>
              <w:bidi w:val="0"/>
              <w:adjustRightInd/>
              <w:snapToGrid/>
              <w:spacing w:line="360" w:lineRule="auto"/>
              <w:ind w:left="0" w:firstLine="0"/>
              <w:jc w:val="lef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1）符合国家相关规定的财务状况报告；</w:t>
            </w:r>
          </w:p>
          <w:p w14:paraId="393B3102">
            <w:pPr>
              <w:pageBreakBefore w:val="0"/>
              <w:kinsoku/>
              <w:wordWrap/>
              <w:overflowPunct/>
              <w:topLinePunct w:val="0"/>
              <w:autoSpaceDN/>
              <w:bidi w:val="0"/>
              <w:adjustRightInd/>
              <w:snapToGrid/>
              <w:spacing w:line="360" w:lineRule="auto"/>
              <w:ind w:left="0" w:firstLine="0"/>
              <w:jc w:val="lef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2）依法缴纳税收的证明材料；</w:t>
            </w:r>
          </w:p>
          <w:p w14:paraId="448691D8">
            <w:pPr>
              <w:pageBreakBefore w:val="0"/>
              <w:kinsoku/>
              <w:wordWrap/>
              <w:overflowPunct/>
              <w:topLinePunct w:val="0"/>
              <w:autoSpaceDN/>
              <w:bidi w:val="0"/>
              <w:adjustRightInd/>
              <w:snapToGrid/>
              <w:spacing w:line="360" w:lineRule="auto"/>
              <w:ind w:left="0" w:firstLine="0"/>
              <w:jc w:val="lef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3）依法缴纳社会保障资金的证明材料；</w:t>
            </w:r>
          </w:p>
          <w:p w14:paraId="61CB335F">
            <w:pPr>
              <w:pageBreakBefore w:val="0"/>
              <w:tabs>
                <w:tab w:val="left" w:pos="8610"/>
              </w:tabs>
              <w:kinsoku/>
              <w:wordWrap/>
              <w:overflowPunct/>
              <w:topLinePunct w:val="0"/>
              <w:autoSpaceDN/>
              <w:bidi w:val="0"/>
              <w:adjustRightInd/>
              <w:snapToGrid/>
              <w:spacing w:line="360" w:lineRule="auto"/>
              <w:ind w:left="0" w:firstLine="0"/>
              <w:jc w:val="lef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4）具备履行政府采购合同所必需的设备和专业技术能力的证明材料；</w:t>
            </w:r>
          </w:p>
          <w:p w14:paraId="77B02C24">
            <w:pPr>
              <w:pageBreakBefore w:val="0"/>
              <w:kinsoku/>
              <w:wordWrap/>
              <w:overflowPunct/>
              <w:topLinePunct w:val="0"/>
              <w:autoSpaceDN/>
              <w:bidi w:val="0"/>
              <w:adjustRightInd/>
              <w:snapToGrid/>
              <w:spacing w:line="360" w:lineRule="auto"/>
              <w:ind w:left="0" w:firstLine="0"/>
              <w:jc w:val="lef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5）参加政府采购活动前三年内在经营活动中没有重大违法记录的证明材料；</w:t>
            </w:r>
          </w:p>
          <w:p w14:paraId="62F507A3">
            <w:pPr>
              <w:pageBreakBefore w:val="0"/>
              <w:kinsoku/>
              <w:wordWrap/>
              <w:overflowPunct/>
              <w:topLinePunct w:val="0"/>
              <w:autoSpaceDN/>
              <w:bidi w:val="0"/>
              <w:adjustRightInd/>
              <w:snapToGrid/>
              <w:spacing w:line="360" w:lineRule="auto"/>
              <w:ind w:left="0" w:firstLine="0"/>
              <w:jc w:val="lef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6）未被列入失信被执行人、重大税收违法失信主体、政府采购严重违法失信行为记录名单的证明材料。</w:t>
            </w:r>
          </w:p>
          <w:p w14:paraId="6F734A79">
            <w:pPr>
              <w:pageBreakBefore w:val="0"/>
              <w:kinsoku/>
              <w:wordWrap/>
              <w:overflowPunct/>
              <w:topLinePunct w:val="0"/>
              <w:autoSpaceDN/>
              <w:bidi w:val="0"/>
              <w:adjustRightInd/>
              <w:snapToGrid/>
              <w:spacing w:line="360" w:lineRule="auto"/>
              <w:ind w:firstLine="420"/>
              <w:jc w:val="lef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供应商在成交后，应按竞争性磋商文件要求，将上述由信用承诺书替代的证明材料（一式两份）加盖公章，提交采购人或采购代理机构核验。经核验无误后，由采购人或采购代理机构发出成交通知书。</w:t>
            </w:r>
          </w:p>
          <w:p w14:paraId="4F29FDF3">
            <w:pPr>
              <w:pageBreakBefore w:val="0"/>
              <w:kinsoku/>
              <w:wordWrap/>
              <w:overflowPunct/>
              <w:topLinePunct w:val="0"/>
              <w:autoSpaceDN/>
              <w:bidi w:val="0"/>
              <w:adjustRightInd/>
              <w:snapToGrid/>
              <w:spacing w:line="360" w:lineRule="auto"/>
              <w:ind w:firstLine="420"/>
              <w:jc w:val="lef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供应商涉及以下情形的，不适用信用承诺:</w:t>
            </w:r>
          </w:p>
          <w:p w14:paraId="1DAF419B">
            <w:pPr>
              <w:pageBreakBefore w:val="0"/>
              <w:kinsoku/>
              <w:wordWrap/>
              <w:overflowPunct/>
              <w:topLinePunct w:val="0"/>
              <w:autoSpaceDN/>
              <w:bidi w:val="0"/>
              <w:adjustRightInd/>
              <w:snapToGrid/>
              <w:spacing w:line="360" w:lineRule="auto"/>
              <w:jc w:val="lef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1）供应商被列入严重失信主体名单；</w:t>
            </w:r>
          </w:p>
          <w:p w14:paraId="0C0B73A9">
            <w:pPr>
              <w:pageBreakBefore w:val="0"/>
              <w:kinsoku/>
              <w:wordWrap/>
              <w:overflowPunct/>
              <w:topLinePunct w:val="0"/>
              <w:autoSpaceDN/>
              <w:bidi w:val="0"/>
              <w:adjustRightInd/>
              <w:snapToGrid/>
              <w:spacing w:line="360" w:lineRule="auto"/>
              <w:jc w:val="lef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2）被相关监管部门作出行政处罚且尚在处罚有效期内；</w:t>
            </w:r>
          </w:p>
          <w:p w14:paraId="35EB1F52">
            <w:pPr>
              <w:pageBreakBefore w:val="0"/>
              <w:kinsoku/>
              <w:wordWrap/>
              <w:overflowPunct/>
              <w:topLinePunct w:val="0"/>
              <w:autoSpaceDN/>
              <w:bidi w:val="0"/>
              <w:adjustRightInd/>
              <w:snapToGrid/>
              <w:spacing w:line="360" w:lineRule="auto"/>
              <w:jc w:val="lef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3）其他法律、行政法规规定的不适用信用承诺的情形；</w:t>
            </w:r>
          </w:p>
          <w:p w14:paraId="544DDE47">
            <w:pPr>
              <w:pageBreakBefore w:val="0"/>
              <w:kinsoku/>
              <w:wordWrap/>
              <w:overflowPunct/>
              <w:topLinePunct w:val="0"/>
              <w:autoSpaceDN/>
              <w:bidi w:val="0"/>
              <w:adjustRightInd/>
              <w:snapToGrid/>
              <w:spacing w:line="360" w:lineRule="auto"/>
              <w:ind w:firstLine="420"/>
              <w:jc w:val="lef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供应商对信用承诺内容的真实性、合法性、有效性负责。如作出虚假信用承诺，视同为“提供虚假材料谋取成交”的违法行为</w:t>
            </w:r>
            <w:r>
              <w:rPr>
                <w:rFonts w:hint="eastAsia" w:ascii="宋体" w:hAnsi="宋体" w:eastAsia="宋体" w:cs="宋体"/>
                <w:b w:val="0"/>
                <w:bCs/>
                <w:color w:val="auto"/>
                <w:sz w:val="28"/>
                <w:szCs w:val="28"/>
                <w:highlight w:val="none"/>
                <w:lang w:bidi="ar"/>
              </w:rPr>
              <w:t>。</w:t>
            </w:r>
          </w:p>
        </w:tc>
      </w:tr>
      <w:tr w14:paraId="573880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trPr>
        <w:tc>
          <w:tcPr>
            <w:tcW w:w="840" w:type="dxa"/>
            <w:noWrap w:val="0"/>
            <w:vAlign w:val="center"/>
          </w:tcPr>
          <w:p w14:paraId="6F84EEC0">
            <w:pPr>
              <w:pageBreakBefore w:val="0"/>
              <w:widowControl/>
              <w:kinsoku/>
              <w:wordWrap/>
              <w:overflowPunct/>
              <w:topLinePunct w:val="0"/>
              <w:autoSpaceDN/>
              <w:bidi w:val="0"/>
              <w:adjustRightInd/>
              <w:snapToGrid/>
              <w:spacing w:line="360" w:lineRule="auto"/>
              <w:jc w:val="center"/>
              <w:rPr>
                <w:rFonts w:hint="eastAsia" w:ascii="宋体" w:hAnsi="宋体" w:eastAsia="宋体" w:cs="宋体"/>
                <w:b w:val="0"/>
                <w:bCs/>
                <w:color w:val="auto"/>
                <w:sz w:val="28"/>
                <w:szCs w:val="28"/>
                <w:highlight w:val="none"/>
                <w:lang w:val="en-US" w:eastAsia="zh-CN" w:bidi="ar"/>
              </w:rPr>
            </w:pPr>
            <w:r>
              <w:rPr>
                <w:rFonts w:hint="eastAsia" w:ascii="宋体" w:hAnsi="宋体" w:eastAsia="宋体" w:cs="宋体"/>
                <w:b w:val="0"/>
                <w:bCs/>
                <w:color w:val="auto"/>
                <w:sz w:val="28"/>
                <w:szCs w:val="28"/>
                <w:highlight w:val="none"/>
                <w:lang w:val="en-US" w:eastAsia="zh-CN"/>
              </w:rPr>
              <w:t>7</w:t>
            </w:r>
          </w:p>
        </w:tc>
        <w:tc>
          <w:tcPr>
            <w:tcW w:w="8875" w:type="dxa"/>
            <w:noWrap w:val="0"/>
            <w:vAlign w:val="center"/>
          </w:tcPr>
          <w:p w14:paraId="25F72FD9">
            <w:pPr>
              <w:pageBreakBefore w:val="0"/>
              <w:widowControl/>
              <w:kinsoku/>
              <w:wordWrap/>
              <w:overflowPunct/>
              <w:topLinePunct w:val="0"/>
              <w:autoSpaceDN/>
              <w:bidi w:val="0"/>
              <w:adjustRightInd/>
              <w:snapToGrid/>
              <w:spacing w:line="360" w:lineRule="auto"/>
              <w:rPr>
                <w:rFonts w:hint="eastAsia" w:ascii="宋体" w:hAnsi="宋体" w:eastAsia="宋体" w:cs="宋体"/>
                <w:b w:val="0"/>
                <w:bCs/>
                <w:color w:val="auto"/>
                <w:sz w:val="28"/>
                <w:szCs w:val="28"/>
                <w:highlight w:val="none"/>
                <w:lang w:val="en-US" w:eastAsia="zh-CN" w:bidi="ar"/>
              </w:rPr>
            </w:pPr>
            <w:r>
              <w:rPr>
                <w:rFonts w:hint="eastAsia" w:ascii="宋体" w:hAnsi="宋体" w:eastAsia="宋体" w:cs="宋体"/>
                <w:b w:val="0"/>
                <w:bCs/>
                <w:color w:val="auto"/>
                <w:sz w:val="28"/>
                <w:szCs w:val="28"/>
                <w:highlight w:val="none"/>
                <w:lang w:bidi="ar"/>
              </w:rPr>
              <w:t>违约风险：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p>
        </w:tc>
      </w:tr>
      <w:tr w14:paraId="1FD4F3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trPr>
        <w:tc>
          <w:tcPr>
            <w:tcW w:w="840" w:type="dxa"/>
            <w:noWrap w:val="0"/>
            <w:vAlign w:val="center"/>
          </w:tcPr>
          <w:p w14:paraId="1902875D">
            <w:pPr>
              <w:pageBreakBefore w:val="0"/>
              <w:kinsoku/>
              <w:wordWrap/>
              <w:overflowPunct/>
              <w:topLinePunct w:val="0"/>
              <w:autoSpaceDN/>
              <w:bidi w:val="0"/>
              <w:adjustRightInd/>
              <w:snapToGrid/>
              <w:spacing w:line="360" w:lineRule="auto"/>
              <w:jc w:val="center"/>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8</w:t>
            </w:r>
          </w:p>
        </w:tc>
        <w:tc>
          <w:tcPr>
            <w:tcW w:w="8875" w:type="dxa"/>
            <w:noWrap w:val="0"/>
            <w:vAlign w:val="center"/>
          </w:tcPr>
          <w:p w14:paraId="334981EE">
            <w:pPr>
              <w:pageBreakBefore w:val="0"/>
              <w:widowControl/>
              <w:kinsoku/>
              <w:wordWrap/>
              <w:overflowPunct/>
              <w:topLinePunct w:val="0"/>
              <w:autoSpaceDN/>
              <w:bidi w:val="0"/>
              <w:adjustRightInd/>
              <w:snapToGrid/>
              <w:spacing w:line="360" w:lineRule="auto"/>
              <w:rPr>
                <w:rFonts w:hint="eastAsia" w:ascii="宋体" w:hAnsi="宋体" w:eastAsia="宋体" w:cs="宋体"/>
                <w:b w:val="0"/>
                <w:bCs/>
                <w:color w:val="auto"/>
                <w:sz w:val="28"/>
                <w:szCs w:val="28"/>
                <w:highlight w:val="none"/>
                <w:lang w:bidi="ar"/>
              </w:rPr>
            </w:pPr>
            <w:r>
              <w:rPr>
                <w:rFonts w:hint="eastAsia" w:ascii="宋体" w:hAnsi="宋体" w:eastAsia="宋体" w:cs="宋体"/>
                <w:b w:val="0"/>
                <w:bCs/>
                <w:color w:val="auto"/>
                <w:sz w:val="28"/>
                <w:szCs w:val="28"/>
                <w:highlight w:val="none"/>
                <w:lang w:bidi="ar"/>
              </w:rPr>
              <w:t>其他：1、请各供应商在采购截止日前随时关注更正补充通知或澄清通知。 2、重大违法记录，是指供应商因违法经营受到刑事处罚或者责令停产停业、吊销许可证或者执照、较大数额罚款等行政处罚。</w:t>
            </w:r>
          </w:p>
        </w:tc>
      </w:tr>
      <w:tr w14:paraId="79393D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40" w:type="dxa"/>
            <w:noWrap w:val="0"/>
            <w:vAlign w:val="center"/>
          </w:tcPr>
          <w:p w14:paraId="26A578B9">
            <w:pPr>
              <w:pageBreakBefore w:val="0"/>
              <w:kinsoku/>
              <w:wordWrap/>
              <w:overflowPunct/>
              <w:topLinePunct w:val="0"/>
              <w:autoSpaceDN/>
              <w:bidi w:val="0"/>
              <w:adjustRightInd/>
              <w:snapToGrid/>
              <w:spacing w:line="360" w:lineRule="auto"/>
              <w:jc w:val="center"/>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9</w:t>
            </w:r>
          </w:p>
        </w:tc>
        <w:tc>
          <w:tcPr>
            <w:tcW w:w="8875" w:type="dxa"/>
            <w:noWrap w:val="0"/>
            <w:vAlign w:val="center"/>
          </w:tcPr>
          <w:p w14:paraId="749F4F5E">
            <w:pPr>
              <w:pageBreakBefore w:val="0"/>
              <w:widowControl/>
              <w:kinsoku/>
              <w:wordWrap/>
              <w:overflowPunct/>
              <w:topLinePunct w:val="0"/>
              <w:autoSpaceDN/>
              <w:bidi w:val="0"/>
              <w:adjustRightInd/>
              <w:snapToGrid/>
              <w:spacing w:line="360" w:lineRule="auto"/>
              <w:rPr>
                <w:rFonts w:hint="eastAsia" w:ascii="宋体" w:hAnsi="宋体" w:eastAsia="宋体" w:cs="宋体"/>
                <w:b w:val="0"/>
                <w:bCs/>
                <w:color w:val="auto"/>
                <w:sz w:val="28"/>
                <w:szCs w:val="28"/>
                <w:highlight w:val="none"/>
                <w:lang w:bidi="ar"/>
              </w:rPr>
            </w:pPr>
            <w:r>
              <w:rPr>
                <w:rFonts w:hint="eastAsia" w:ascii="宋体" w:hAnsi="宋体" w:eastAsia="宋体" w:cs="宋体"/>
                <w:b w:val="0"/>
                <w:bCs/>
                <w:color w:val="auto"/>
                <w:sz w:val="28"/>
                <w:szCs w:val="28"/>
                <w:highlight w:val="none"/>
                <w:lang w:val="en-US" w:eastAsia="zh-CN" w:bidi="ar"/>
              </w:rPr>
              <w:t>1）</w:t>
            </w:r>
            <w:r>
              <w:rPr>
                <w:rFonts w:hint="eastAsia" w:ascii="宋体" w:hAnsi="宋体" w:eastAsia="宋体" w:cs="宋体"/>
                <w:b w:val="0"/>
                <w:bCs/>
                <w:color w:val="auto"/>
                <w:sz w:val="28"/>
                <w:szCs w:val="28"/>
                <w:highlight w:val="none"/>
                <w:lang w:bidi="ar"/>
              </w:rPr>
              <w:t>报价时供应商应充分考虑到本项目有关的一切费用，以及供应商认为需要的其他费用等。</w:t>
            </w:r>
          </w:p>
          <w:p w14:paraId="1ECC0C82">
            <w:pPr>
              <w:pageBreakBefore w:val="0"/>
              <w:widowControl/>
              <w:kinsoku/>
              <w:wordWrap/>
              <w:overflowPunct/>
              <w:topLinePunct w:val="0"/>
              <w:autoSpaceDN/>
              <w:bidi w:val="0"/>
              <w:adjustRightInd/>
              <w:snapToGrid/>
              <w:spacing w:line="360" w:lineRule="auto"/>
              <w:rPr>
                <w:rFonts w:hint="eastAsia" w:ascii="宋体" w:hAnsi="宋体" w:eastAsia="宋体" w:cs="宋体"/>
                <w:b w:val="0"/>
                <w:bCs/>
                <w:color w:val="auto"/>
                <w:sz w:val="28"/>
                <w:szCs w:val="28"/>
                <w:highlight w:val="none"/>
                <w:lang w:bidi="ar"/>
              </w:rPr>
            </w:pPr>
            <w:r>
              <w:rPr>
                <w:rFonts w:hint="eastAsia" w:ascii="宋体" w:hAnsi="宋体" w:eastAsia="宋体" w:cs="宋体"/>
                <w:b w:val="0"/>
                <w:bCs/>
                <w:color w:val="auto"/>
                <w:sz w:val="28"/>
                <w:szCs w:val="28"/>
                <w:highlight w:val="none"/>
                <w:lang w:val="en-US" w:eastAsia="zh-CN" w:bidi="ar"/>
              </w:rPr>
              <w:t>2</w:t>
            </w:r>
            <w:r>
              <w:rPr>
                <w:rFonts w:hint="eastAsia" w:ascii="宋体" w:hAnsi="宋体" w:eastAsia="宋体" w:cs="宋体"/>
                <w:b w:val="0"/>
                <w:bCs/>
                <w:color w:val="auto"/>
                <w:sz w:val="28"/>
                <w:szCs w:val="28"/>
                <w:highlight w:val="none"/>
                <w:lang w:eastAsia="zh-CN" w:bidi="ar"/>
              </w:rPr>
              <w:t>）</w:t>
            </w:r>
            <w:r>
              <w:rPr>
                <w:rFonts w:hint="eastAsia" w:ascii="宋体" w:hAnsi="宋体" w:eastAsia="宋体" w:cs="宋体"/>
                <w:b w:val="0"/>
                <w:bCs/>
                <w:color w:val="auto"/>
                <w:sz w:val="28"/>
                <w:szCs w:val="28"/>
                <w:highlight w:val="none"/>
                <w:lang w:bidi="ar"/>
              </w:rPr>
              <w:t>供应商的任何错漏、优惠、竞争性报价不得作为减轻责任、减少服务、增加收费、降低质量的理由。</w:t>
            </w:r>
          </w:p>
        </w:tc>
      </w:tr>
      <w:tr w14:paraId="1BD906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12" w:hRule="atLeast"/>
        </w:trPr>
        <w:tc>
          <w:tcPr>
            <w:tcW w:w="840" w:type="dxa"/>
            <w:noWrap w:val="0"/>
            <w:vAlign w:val="center"/>
          </w:tcPr>
          <w:p w14:paraId="29DBA81A">
            <w:pPr>
              <w:pageBreakBefore w:val="0"/>
              <w:kinsoku/>
              <w:wordWrap/>
              <w:overflowPunct/>
              <w:topLinePunct w:val="0"/>
              <w:autoSpaceDN/>
              <w:bidi w:val="0"/>
              <w:adjustRightInd/>
              <w:snapToGrid/>
              <w:spacing w:line="360" w:lineRule="auto"/>
              <w:jc w:val="center"/>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10</w:t>
            </w:r>
          </w:p>
        </w:tc>
        <w:tc>
          <w:tcPr>
            <w:tcW w:w="8875" w:type="dxa"/>
            <w:noWrap w:val="0"/>
            <w:vAlign w:val="center"/>
          </w:tcPr>
          <w:p w14:paraId="5D2CAB25">
            <w:pPr>
              <w:pageBreakBefore w:val="0"/>
              <w:widowControl/>
              <w:kinsoku/>
              <w:wordWrap/>
              <w:overflowPunct/>
              <w:topLinePunct w:val="0"/>
              <w:autoSpaceDN/>
              <w:bidi w:val="0"/>
              <w:adjustRightInd/>
              <w:snapToGrid/>
              <w:spacing w:line="360" w:lineRule="auto"/>
              <w:rPr>
                <w:rFonts w:hint="eastAsia" w:ascii="宋体" w:hAnsi="宋体" w:eastAsia="宋体" w:cs="宋体"/>
                <w:b w:val="0"/>
                <w:bCs/>
                <w:color w:val="auto"/>
                <w:sz w:val="28"/>
                <w:szCs w:val="28"/>
                <w:highlight w:val="none"/>
                <w:lang w:bidi="ar"/>
              </w:rPr>
            </w:pPr>
            <w:r>
              <w:rPr>
                <w:rFonts w:hint="eastAsia" w:ascii="宋体" w:hAnsi="宋体" w:eastAsia="宋体" w:cs="宋体"/>
                <w:b w:val="0"/>
                <w:bCs/>
                <w:color w:val="auto"/>
                <w:sz w:val="28"/>
                <w:szCs w:val="28"/>
                <w:highlight w:val="none"/>
                <w:lang w:bidi="ar"/>
              </w:rPr>
              <w:t>不管报价结果如何，供应商均应承担自己报价所需一切费用。</w:t>
            </w:r>
            <w:r>
              <w:rPr>
                <w:rFonts w:hint="eastAsia" w:ascii="宋体" w:hAnsi="宋体" w:eastAsia="宋体" w:cs="宋体"/>
                <w:b w:val="0"/>
                <w:bCs/>
                <w:color w:val="auto"/>
                <w:sz w:val="28"/>
                <w:szCs w:val="28"/>
                <w:highlight w:val="none"/>
                <w:lang w:val="en-US" w:eastAsia="zh-CN" w:bidi="ar"/>
              </w:rPr>
              <w:t>本项目代理服务费按【2002】1980号文件规定计取，中标人在领取成交通知书时一次性向代理机构支付代理服务费，中标人不得以任何理由迟交或拒交。代理费应包含在总报价中，不单独立项，请在报价时综合考虑相关费用，结算时不调整。</w:t>
            </w:r>
          </w:p>
        </w:tc>
      </w:tr>
      <w:tr w14:paraId="04E015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2" w:hRule="atLeast"/>
        </w:trPr>
        <w:tc>
          <w:tcPr>
            <w:tcW w:w="840" w:type="dxa"/>
            <w:noWrap w:val="0"/>
            <w:vAlign w:val="center"/>
          </w:tcPr>
          <w:p w14:paraId="490239E7">
            <w:pPr>
              <w:pageBreakBefore w:val="0"/>
              <w:kinsoku/>
              <w:wordWrap/>
              <w:overflowPunct/>
              <w:topLinePunct w:val="0"/>
              <w:autoSpaceDN/>
              <w:bidi w:val="0"/>
              <w:adjustRightInd/>
              <w:snapToGrid/>
              <w:spacing w:line="360" w:lineRule="auto"/>
              <w:jc w:val="center"/>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11</w:t>
            </w:r>
          </w:p>
        </w:tc>
        <w:tc>
          <w:tcPr>
            <w:tcW w:w="8875" w:type="dxa"/>
            <w:noWrap w:val="0"/>
            <w:vAlign w:val="center"/>
          </w:tcPr>
          <w:p w14:paraId="0C994E47">
            <w:pPr>
              <w:pageBreakBefore w:val="0"/>
              <w:kinsoku/>
              <w:wordWrap/>
              <w:overflowPunct/>
              <w:topLinePunct w:val="0"/>
              <w:autoSpaceDE/>
              <w:autoSpaceDN/>
              <w:bidi w:val="0"/>
              <w:adjustRightInd/>
              <w:snapToGrid/>
              <w:spacing w:line="360" w:lineRule="auto"/>
              <w:ind w:firstLine="0"/>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关于异常低价审查：</w:t>
            </w:r>
          </w:p>
          <w:p w14:paraId="69030020">
            <w:pPr>
              <w:pageBreakBefore w:val="0"/>
              <w:kinsoku/>
              <w:wordWrap/>
              <w:overflowPunct/>
              <w:topLinePunct w:val="0"/>
              <w:autoSpaceDE/>
              <w:autoSpaceDN/>
              <w:bidi w:val="0"/>
              <w:adjustRightInd/>
              <w:snapToGrid/>
              <w:spacing w:line="360" w:lineRule="auto"/>
              <w:ind w:firstLine="0"/>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根据《关于推动解决政府采购异常低价问题相关⼯作的通知》（苏财购〔2025〕号）要求：</w:t>
            </w:r>
          </w:p>
          <w:p w14:paraId="409BBBD6">
            <w:pPr>
              <w:pageBreakBefore w:val="0"/>
              <w:kinsoku/>
              <w:wordWrap/>
              <w:overflowPunct/>
              <w:topLinePunct w:val="0"/>
              <w:autoSpaceDE/>
              <w:autoSpaceDN/>
              <w:bidi w:val="0"/>
              <w:adjustRightInd/>
              <w:snapToGrid/>
              <w:spacing w:line="360" w:lineRule="auto"/>
              <w:ind w:firstLine="0"/>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评审过程中出现下列情形之一的，评审委员会应当启动异常低价投标（响应）审查程序：</w:t>
            </w:r>
          </w:p>
          <w:p w14:paraId="5DC1635E">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①投标（响应）报价低于采购项目预算50%的，即投标（响应）报价&lt;采购项目预算×50%；</w:t>
            </w:r>
          </w:p>
          <w:p w14:paraId="29C9A384">
            <w:pPr>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②投标（响应）报价低于采购项目最高限价45%的，即投标（响应）报价&lt;采购项目最高限价×45%；</w:t>
            </w:r>
          </w:p>
          <w:p w14:paraId="65596887">
            <w:pPr>
              <w:pageBreakBefore w:val="0"/>
              <w:kinsoku/>
              <w:wordWrap/>
              <w:overflowPunct/>
              <w:topLinePunct w:val="0"/>
              <w:autoSpaceDE/>
              <w:autoSpaceDN/>
              <w:bidi w:val="0"/>
              <w:adjustRightInd/>
              <w:snapToGrid/>
              <w:spacing w:line="360" w:lineRule="auto"/>
              <w:ind w:firstLine="0"/>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③评审委员会认定的供应商报价过低、有可能影响产品质量或者不能诚信履约的其他情形。</w:t>
            </w:r>
          </w:p>
          <w:p w14:paraId="368053DC">
            <w:pPr>
              <w:pageBreakBefore w:val="0"/>
              <w:kinsoku/>
              <w:wordWrap/>
              <w:overflowPunct/>
              <w:topLinePunct w:val="0"/>
              <w:autoSpaceDE/>
              <w:autoSpaceDN/>
              <w:bidi w:val="0"/>
              <w:adjustRightInd/>
              <w:snapToGrid/>
              <w:spacing w:line="360" w:lineRule="auto"/>
              <w:ind w:firstLine="0"/>
              <w:textAlignment w:val="auto"/>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tc>
      </w:tr>
    </w:tbl>
    <w:p w14:paraId="31B39B64">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auto"/>
          <w:sz w:val="28"/>
          <w:szCs w:val="28"/>
          <w:highlight w:val="none"/>
        </w:rPr>
      </w:pPr>
    </w:p>
    <w:p w14:paraId="08349D7E">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auto"/>
          <w:sz w:val="28"/>
          <w:szCs w:val="28"/>
          <w:highlight w:val="none"/>
        </w:rPr>
      </w:pPr>
    </w:p>
    <w:p w14:paraId="5AB17D21">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auto"/>
          <w:sz w:val="28"/>
          <w:szCs w:val="28"/>
          <w:highlight w:val="none"/>
        </w:rPr>
      </w:pPr>
    </w:p>
    <w:p w14:paraId="0EDC6CD7">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auto"/>
          <w:sz w:val="28"/>
          <w:szCs w:val="28"/>
          <w:highlight w:val="none"/>
        </w:rPr>
      </w:pPr>
    </w:p>
    <w:p w14:paraId="6E897990">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auto"/>
          <w:sz w:val="28"/>
          <w:szCs w:val="28"/>
          <w:highlight w:val="none"/>
        </w:rPr>
      </w:pPr>
    </w:p>
    <w:p w14:paraId="180AA7D7">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auto"/>
          <w:sz w:val="28"/>
          <w:szCs w:val="28"/>
          <w:highlight w:val="none"/>
        </w:rPr>
      </w:pPr>
    </w:p>
    <w:p w14:paraId="71AAA266">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8"/>
          <w:szCs w:val="28"/>
          <w:highlight w:val="none"/>
        </w:rPr>
      </w:pPr>
    </w:p>
    <w:p w14:paraId="2D7C60A0">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一、总    则</w:t>
      </w:r>
    </w:p>
    <w:p w14:paraId="4A50AAF6">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1.适用法律</w:t>
      </w:r>
    </w:p>
    <w:p w14:paraId="05994E40">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 《中华人民共和国政府采购法》《中华人民共和国政府采购法实施条例》《政府采购非招标方式管理办法》等有关法律、规章和规定等。</w:t>
      </w:r>
    </w:p>
    <w:p w14:paraId="4A9B68D5">
      <w:pPr>
        <w:keepNext w:val="0"/>
        <w:keepLines w:val="0"/>
        <w:pageBreakBefore w:val="0"/>
        <w:kinsoku/>
        <w:wordWrap/>
        <w:overflowPunct/>
        <w:topLinePunct w:val="0"/>
        <w:autoSpaceDE/>
        <w:autoSpaceDN/>
        <w:bidi w:val="0"/>
        <w:adjustRightInd/>
        <w:snapToGrid/>
        <w:spacing w:line="360" w:lineRule="auto"/>
        <w:ind w:firstLine="482"/>
        <w:textAlignment w:val="auto"/>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2.定义</w:t>
      </w:r>
    </w:p>
    <w:p w14:paraId="6A5DFFFD">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 “供应商”是指参加谈判竞争，并符合采购文件规定资格条件的法人、其他组织或者自然人。</w:t>
      </w:r>
    </w:p>
    <w:p w14:paraId="5FC30B24">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2.2 “货物、</w:t>
      </w:r>
      <w:r>
        <w:rPr>
          <w:rFonts w:hint="eastAsia" w:ascii="宋体" w:hAnsi="宋体" w:eastAsia="宋体" w:cs="宋体"/>
          <w:color w:val="auto"/>
          <w:sz w:val="28"/>
          <w:szCs w:val="28"/>
          <w:highlight w:val="none"/>
          <w:lang w:val="en-US"/>
        </w:rPr>
        <w:t>服务、工程</w:t>
      </w:r>
      <w:r>
        <w:rPr>
          <w:rFonts w:hint="eastAsia" w:ascii="宋体" w:hAnsi="宋体" w:eastAsia="宋体" w:cs="宋体"/>
          <w:color w:val="auto"/>
          <w:sz w:val="28"/>
          <w:szCs w:val="28"/>
          <w:highlight w:val="none"/>
        </w:rPr>
        <w:t>”是指本谈判文件中所述</w:t>
      </w:r>
      <w:r>
        <w:rPr>
          <w:rFonts w:hint="eastAsia" w:ascii="宋体" w:hAnsi="宋体" w:eastAsia="宋体" w:cs="宋体"/>
          <w:color w:val="auto"/>
          <w:sz w:val="28"/>
          <w:szCs w:val="28"/>
          <w:highlight w:val="none"/>
          <w:lang w:val="en-US"/>
        </w:rPr>
        <w:t>的</w:t>
      </w:r>
      <w:r>
        <w:rPr>
          <w:rFonts w:hint="eastAsia" w:ascii="宋体" w:hAnsi="宋体" w:eastAsia="宋体" w:cs="宋体"/>
          <w:color w:val="auto"/>
          <w:sz w:val="28"/>
          <w:szCs w:val="28"/>
          <w:highlight w:val="none"/>
        </w:rPr>
        <w:t>货物、</w:t>
      </w:r>
      <w:r>
        <w:rPr>
          <w:rFonts w:hint="eastAsia" w:ascii="宋体" w:hAnsi="宋体" w:eastAsia="宋体" w:cs="宋体"/>
          <w:color w:val="auto"/>
          <w:sz w:val="28"/>
          <w:szCs w:val="28"/>
          <w:highlight w:val="none"/>
          <w:lang w:val="en-US"/>
        </w:rPr>
        <w:t>服务和工程</w:t>
      </w:r>
      <w:r>
        <w:rPr>
          <w:rFonts w:hint="eastAsia" w:ascii="宋体" w:hAnsi="宋体" w:eastAsia="宋体" w:cs="宋体"/>
          <w:color w:val="auto"/>
          <w:sz w:val="28"/>
          <w:szCs w:val="28"/>
          <w:highlight w:val="none"/>
        </w:rPr>
        <w:t>。</w:t>
      </w:r>
    </w:p>
    <w:p w14:paraId="737477D4">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 “用户或使用单位”是指使用的单位。</w:t>
      </w:r>
    </w:p>
    <w:p w14:paraId="1B46B86D">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3.政策功能</w:t>
      </w:r>
    </w:p>
    <w:p w14:paraId="7BF47C4F">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3.1政府采购促进中小企业发展，</w:t>
      </w:r>
      <w:r>
        <w:rPr>
          <w:rFonts w:hint="eastAsia" w:ascii="宋体" w:hAnsi="宋体" w:eastAsia="宋体" w:cs="宋体"/>
          <w:bCs/>
          <w:color w:val="auto"/>
          <w:sz w:val="28"/>
          <w:szCs w:val="28"/>
          <w:highlight w:val="none"/>
        </w:rPr>
        <w:t>小企业（含小型、微型企业）提供的产品和服务在谈判时将获得优势，参加谈判的小企业，应当提供《中小企业声明函》（</w:t>
      </w:r>
      <w:r>
        <w:rPr>
          <w:rFonts w:hint="eastAsia" w:ascii="宋体" w:hAnsi="宋体" w:eastAsia="宋体" w:cs="宋体"/>
          <w:bCs/>
          <w:color w:val="auto"/>
          <w:sz w:val="28"/>
          <w:szCs w:val="28"/>
          <w:highlight w:val="none"/>
          <w:lang w:val="en-US"/>
        </w:rPr>
        <w:t>格式见后附件</w:t>
      </w:r>
      <w:r>
        <w:rPr>
          <w:rFonts w:hint="eastAsia" w:ascii="宋体" w:hAnsi="宋体" w:eastAsia="宋体" w:cs="宋体"/>
          <w:bCs/>
          <w:color w:val="auto"/>
          <w:sz w:val="28"/>
          <w:szCs w:val="28"/>
          <w:highlight w:val="none"/>
        </w:rPr>
        <w:t>），</w:t>
      </w:r>
      <w:r>
        <w:rPr>
          <w:rFonts w:hint="eastAsia" w:ascii="宋体" w:hAnsi="宋体" w:eastAsia="宋体" w:cs="宋体"/>
          <w:bCs/>
          <w:color w:val="auto"/>
          <w:sz w:val="28"/>
          <w:szCs w:val="28"/>
          <w:highlight w:val="none"/>
          <w:lang w:val="en-US"/>
        </w:rPr>
        <w:t>中小企业享受政府采购支持政策的要求详见财库</w:t>
      </w:r>
      <w:r>
        <w:rPr>
          <w:rFonts w:hint="eastAsia" w:ascii="宋体" w:hAnsi="宋体" w:eastAsia="宋体" w:cs="宋体"/>
          <w:bCs/>
          <w:color w:val="auto"/>
          <w:sz w:val="28"/>
          <w:szCs w:val="28"/>
          <w:highlight w:val="none"/>
        </w:rPr>
        <w:t>〔2011〕</w:t>
      </w:r>
      <w:r>
        <w:rPr>
          <w:rFonts w:hint="eastAsia" w:ascii="宋体" w:hAnsi="宋体" w:eastAsia="宋体" w:cs="宋体"/>
          <w:bCs/>
          <w:color w:val="auto"/>
          <w:sz w:val="28"/>
          <w:szCs w:val="28"/>
          <w:highlight w:val="none"/>
          <w:lang w:val="en-US"/>
        </w:rPr>
        <w:t>181号。</w:t>
      </w:r>
      <w:r>
        <w:rPr>
          <w:rFonts w:hint="eastAsia" w:ascii="宋体" w:hAnsi="宋体" w:eastAsia="宋体" w:cs="宋体"/>
          <w:bCs/>
          <w:color w:val="auto"/>
          <w:sz w:val="28"/>
          <w:szCs w:val="28"/>
          <w:highlight w:val="none"/>
        </w:rPr>
        <w:t>（“</w:t>
      </w:r>
      <w:r>
        <w:rPr>
          <w:rFonts w:hint="eastAsia" w:ascii="宋体" w:hAnsi="宋体" w:eastAsia="宋体" w:cs="宋体"/>
          <w:color w:val="auto"/>
          <w:sz w:val="28"/>
          <w:szCs w:val="28"/>
          <w:highlight w:val="none"/>
        </w:rPr>
        <w:t>中小企业划型标准”详见</w:t>
      </w:r>
      <w:r>
        <w:rPr>
          <w:rFonts w:hint="eastAsia" w:ascii="宋体" w:hAnsi="宋体" w:eastAsia="宋体" w:cs="宋体"/>
          <w:b/>
          <w:color w:val="auto"/>
          <w:sz w:val="28"/>
          <w:szCs w:val="28"/>
          <w:highlight w:val="none"/>
        </w:rPr>
        <w:t>《</w:t>
      </w:r>
      <w:r>
        <w:rPr>
          <w:rFonts w:hint="eastAsia" w:ascii="宋体" w:hAnsi="宋体" w:eastAsia="宋体" w:cs="宋体"/>
          <w:color w:val="auto"/>
          <w:sz w:val="28"/>
          <w:szCs w:val="28"/>
          <w:highlight w:val="none"/>
        </w:rPr>
        <w:t>关于印发中小企业划型标准规定的通知》工信部联企业〔2011〕300号及《国家统计局关于印发统计上大中小微型企业划分办法的通知》国统字〔2011〕75号）。</w:t>
      </w:r>
    </w:p>
    <w:p w14:paraId="6F633CE2">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 政府采购支持监狱和戒毒企业发展政策，监狱和戒毒企业提供的产品和服务在</w:t>
      </w:r>
      <w:r>
        <w:rPr>
          <w:rFonts w:hint="eastAsia" w:ascii="宋体" w:hAnsi="宋体" w:eastAsia="宋体" w:cs="宋体"/>
          <w:color w:val="auto"/>
          <w:sz w:val="28"/>
          <w:szCs w:val="28"/>
          <w:highlight w:val="none"/>
          <w:lang w:val="en-US"/>
        </w:rPr>
        <w:t>谈判</w:t>
      </w:r>
      <w:r>
        <w:rPr>
          <w:rFonts w:hint="eastAsia" w:ascii="宋体" w:hAnsi="宋体" w:eastAsia="宋体" w:cs="宋体"/>
          <w:color w:val="auto"/>
          <w:sz w:val="28"/>
          <w:szCs w:val="28"/>
          <w:highlight w:val="none"/>
        </w:rPr>
        <w:t>时将获得优势，参加</w:t>
      </w:r>
      <w:r>
        <w:rPr>
          <w:rFonts w:hint="eastAsia" w:ascii="宋体" w:hAnsi="宋体" w:eastAsia="宋体" w:cs="宋体"/>
          <w:color w:val="auto"/>
          <w:sz w:val="28"/>
          <w:szCs w:val="28"/>
          <w:highlight w:val="none"/>
          <w:lang w:val="en-US"/>
        </w:rPr>
        <w:t>谈判</w:t>
      </w:r>
      <w:r>
        <w:rPr>
          <w:rFonts w:hint="eastAsia" w:ascii="宋体" w:hAnsi="宋体" w:eastAsia="宋体" w:cs="宋体"/>
          <w:color w:val="auto"/>
          <w:sz w:val="28"/>
          <w:szCs w:val="28"/>
          <w:highlight w:val="none"/>
        </w:rPr>
        <w:t>的监狱和戒毒企业，应当提供由省级以上监狱管理局、戒毒管理局（含新疆生产建设兵团）出具的属于监狱企业的证明文件，监狱和戒毒企业享受政府采购支持政策的要求详见财库〔2014〕68号。</w:t>
      </w:r>
    </w:p>
    <w:p w14:paraId="70C590B7">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 政府采购促进残疾人就业政策，残疾人福利性单位提供的产品和服务在</w:t>
      </w:r>
      <w:r>
        <w:rPr>
          <w:rFonts w:hint="eastAsia" w:ascii="宋体" w:hAnsi="宋体" w:eastAsia="宋体" w:cs="宋体"/>
          <w:color w:val="auto"/>
          <w:sz w:val="28"/>
          <w:szCs w:val="28"/>
          <w:highlight w:val="none"/>
          <w:lang w:val="en-US"/>
        </w:rPr>
        <w:t>谈判</w:t>
      </w:r>
      <w:r>
        <w:rPr>
          <w:rFonts w:hint="eastAsia" w:ascii="宋体" w:hAnsi="宋体" w:eastAsia="宋体" w:cs="宋体"/>
          <w:color w:val="auto"/>
          <w:sz w:val="28"/>
          <w:szCs w:val="28"/>
          <w:highlight w:val="none"/>
        </w:rPr>
        <w:t>时将获得优势，参加</w:t>
      </w:r>
      <w:r>
        <w:rPr>
          <w:rFonts w:hint="eastAsia" w:ascii="宋体" w:hAnsi="宋体" w:eastAsia="宋体" w:cs="宋体"/>
          <w:color w:val="auto"/>
          <w:sz w:val="28"/>
          <w:szCs w:val="28"/>
          <w:highlight w:val="none"/>
          <w:lang w:val="en-US"/>
        </w:rPr>
        <w:t>谈判</w:t>
      </w:r>
      <w:r>
        <w:rPr>
          <w:rFonts w:hint="eastAsia" w:ascii="宋体" w:hAnsi="宋体" w:eastAsia="宋体" w:cs="宋体"/>
          <w:color w:val="auto"/>
          <w:sz w:val="28"/>
          <w:szCs w:val="28"/>
          <w:highlight w:val="none"/>
        </w:rPr>
        <w:t>的残疾人福利性单位，应当提供《残疾人福利性单位声明函》（格式见后附件），残疾人福利性单位享受政府采购支持政策的要求详见财库〔2017〕141号。</w:t>
      </w:r>
    </w:p>
    <w:p w14:paraId="2C1F9B9C">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3.4 强制采购节能产品、信息安全产品，优先采购环境标志产品。节能产品是指列入财政部、国家发展和改革委员会制定的</w:t>
      </w:r>
      <w:r>
        <w:rPr>
          <w:rFonts w:hint="eastAsia" w:ascii="宋体" w:hAnsi="宋体" w:eastAsia="宋体" w:cs="宋体"/>
          <w:bCs/>
          <w:color w:val="auto"/>
          <w:sz w:val="28"/>
          <w:szCs w:val="28"/>
          <w:highlight w:val="none"/>
        </w:rPr>
        <w:t>《</w:t>
      </w:r>
      <w:r>
        <w:rPr>
          <w:rFonts w:hint="eastAsia" w:ascii="宋体" w:hAnsi="宋体" w:eastAsia="宋体" w:cs="宋体"/>
          <w:color w:val="auto"/>
          <w:sz w:val="28"/>
          <w:szCs w:val="28"/>
          <w:highlight w:val="none"/>
        </w:rPr>
        <w:t>节能产品政府采购</w:t>
      </w:r>
      <w:r>
        <w:rPr>
          <w:rFonts w:hint="eastAsia" w:ascii="宋体" w:hAnsi="宋体" w:eastAsia="宋体" w:cs="宋体"/>
          <w:color w:val="auto"/>
          <w:sz w:val="28"/>
          <w:szCs w:val="28"/>
          <w:highlight w:val="none"/>
          <w:lang w:val="en-US"/>
        </w:rPr>
        <w:t>品目</w:t>
      </w:r>
      <w:r>
        <w:rPr>
          <w:rFonts w:hint="eastAsia" w:ascii="宋体" w:hAnsi="宋体" w:eastAsia="宋体" w:cs="宋体"/>
          <w:color w:val="auto"/>
          <w:sz w:val="28"/>
          <w:szCs w:val="28"/>
          <w:highlight w:val="none"/>
        </w:rPr>
        <w:t>清单》，且依据</w:t>
      </w:r>
      <w:r>
        <w:rPr>
          <w:rFonts w:hint="eastAsia" w:ascii="宋体" w:hAnsi="宋体" w:eastAsia="宋体" w:cs="宋体"/>
          <w:color w:val="auto"/>
          <w:sz w:val="28"/>
          <w:szCs w:val="28"/>
          <w:highlight w:val="none"/>
          <w:lang w:val="en-US"/>
        </w:rPr>
        <w:t>国家</w:t>
      </w:r>
      <w:r>
        <w:rPr>
          <w:rFonts w:hint="eastAsia" w:ascii="宋体" w:hAnsi="宋体" w:eastAsia="宋体" w:cs="宋体"/>
          <w:color w:val="auto"/>
          <w:sz w:val="28"/>
          <w:szCs w:val="28"/>
          <w:highlight w:val="none"/>
        </w:rPr>
        <w:t>相关标准的最新版本</w:t>
      </w:r>
      <w:r>
        <w:rPr>
          <w:rFonts w:hint="eastAsia" w:ascii="宋体" w:hAnsi="宋体" w:eastAsia="宋体" w:cs="宋体"/>
          <w:color w:val="auto"/>
          <w:sz w:val="28"/>
          <w:szCs w:val="28"/>
          <w:highlight w:val="none"/>
          <w:lang w:val="en-US"/>
        </w:rPr>
        <w:t>和国家能效标准中二级能效（水效）</w:t>
      </w:r>
      <w:r>
        <w:rPr>
          <w:rFonts w:hint="eastAsia" w:ascii="宋体" w:hAnsi="宋体" w:eastAsia="宋体" w:cs="宋体"/>
          <w:color w:val="auto"/>
          <w:sz w:val="28"/>
          <w:szCs w:val="28"/>
          <w:highlight w:val="none"/>
        </w:rPr>
        <w:t>认证；信息安全产品是指列入国家质检总局 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2D458B9D">
      <w:pPr>
        <w:keepNext w:val="0"/>
        <w:keepLines w:val="0"/>
        <w:pageBreakBefore w:val="0"/>
        <w:tabs>
          <w:tab w:val="left" w:pos="525"/>
          <w:tab w:val="left" w:pos="945"/>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3.5提供的产品属于信息安全产品的，供应商应当选择经国家认证的信息安全产品</w:t>
      </w:r>
      <w:r>
        <w:rPr>
          <w:rFonts w:hint="eastAsia" w:ascii="宋体" w:hAnsi="宋体" w:eastAsia="宋体" w:cs="宋体"/>
          <w:color w:val="auto"/>
          <w:sz w:val="28"/>
          <w:szCs w:val="28"/>
          <w:highlight w:val="none"/>
          <w:lang w:val="en-US"/>
        </w:rPr>
        <w:t>谈判</w:t>
      </w:r>
      <w:r>
        <w:rPr>
          <w:rFonts w:hint="eastAsia" w:ascii="宋体" w:hAnsi="宋体" w:eastAsia="宋体" w:cs="宋体"/>
          <w:color w:val="auto"/>
          <w:sz w:val="28"/>
          <w:szCs w:val="28"/>
          <w:highlight w:val="none"/>
        </w:rPr>
        <w:t>，并提供由中国信息安全认证中心按国家标准认证颁发的有效认证证书复印件。</w:t>
      </w:r>
    </w:p>
    <w:p w14:paraId="1AE27612">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3.6 提供的产品属于政府强制采购节能产品的，供应商应当选择《节能产品政府采购品目清单》中且依据国家相关标准的最新版本和国家能效标准中二级能效（水效）认证的节能产品</w:t>
      </w:r>
      <w:r>
        <w:rPr>
          <w:rFonts w:hint="eastAsia" w:ascii="宋体" w:hAnsi="宋体" w:eastAsia="宋体" w:cs="宋体"/>
          <w:color w:val="auto"/>
          <w:sz w:val="28"/>
          <w:szCs w:val="28"/>
          <w:highlight w:val="none"/>
          <w:lang w:val="en-US"/>
        </w:rPr>
        <w:t>谈判</w:t>
      </w:r>
      <w:r>
        <w:rPr>
          <w:rFonts w:hint="eastAsia" w:ascii="宋体" w:hAnsi="宋体" w:eastAsia="宋体" w:cs="宋体"/>
          <w:color w:val="auto"/>
          <w:sz w:val="28"/>
          <w:szCs w:val="28"/>
          <w:highlight w:val="none"/>
        </w:rPr>
        <w:t>，并提供有效的节能产品认证证书复印件。</w:t>
      </w:r>
    </w:p>
    <w:p w14:paraId="13CC88E7">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auto"/>
          <w:sz w:val="28"/>
          <w:szCs w:val="28"/>
          <w:highlight w:val="none"/>
        </w:rPr>
      </w:pPr>
      <w:r>
        <w:rPr>
          <w:rFonts w:hint="eastAsia" w:ascii="宋体" w:hAnsi="宋体" w:eastAsia="宋体" w:cs="宋体"/>
          <w:bCs/>
          <w:color w:val="auto"/>
          <w:sz w:val="28"/>
          <w:szCs w:val="28"/>
          <w:highlight w:val="none"/>
        </w:rPr>
        <w:t>3.7 提供的产品属于环境标志产品的,供应商应当选择《环境标志产品政府采购品目清单》中且依据相关标准的最新版本认证的环境标志产品</w:t>
      </w:r>
      <w:r>
        <w:rPr>
          <w:rFonts w:hint="eastAsia" w:ascii="宋体" w:hAnsi="宋体" w:eastAsia="宋体" w:cs="宋体"/>
          <w:bCs/>
          <w:color w:val="auto"/>
          <w:sz w:val="28"/>
          <w:szCs w:val="28"/>
          <w:highlight w:val="none"/>
          <w:lang w:val="en-US"/>
        </w:rPr>
        <w:t>谈判</w:t>
      </w:r>
      <w:r>
        <w:rPr>
          <w:rFonts w:hint="eastAsia" w:ascii="宋体" w:hAnsi="宋体" w:eastAsia="宋体" w:cs="宋体"/>
          <w:bCs/>
          <w:color w:val="auto"/>
          <w:sz w:val="28"/>
          <w:szCs w:val="28"/>
          <w:highlight w:val="none"/>
        </w:rPr>
        <w:t>,并提供有效的环境标志产品认证证书复印件</w:t>
      </w:r>
    </w:p>
    <w:p w14:paraId="36C4BD09">
      <w:pPr>
        <w:keepNext w:val="0"/>
        <w:keepLines w:val="0"/>
        <w:pageBreakBefore w:val="0"/>
        <w:kinsoku/>
        <w:wordWrap/>
        <w:overflowPunct/>
        <w:topLinePunct w:val="0"/>
        <w:autoSpaceDE/>
        <w:autoSpaceDN/>
        <w:bidi w:val="0"/>
        <w:adjustRightInd/>
        <w:snapToGrid/>
        <w:spacing w:line="360" w:lineRule="auto"/>
        <w:ind w:firstLine="482"/>
        <w:textAlignment w:val="auto"/>
        <w:outlineLvl w:val="9"/>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4.</w:t>
      </w:r>
      <w:r>
        <w:rPr>
          <w:rFonts w:hint="eastAsia" w:ascii="宋体" w:hAnsi="宋体" w:eastAsia="宋体" w:cs="宋体"/>
          <w:b/>
          <w:bCs/>
          <w:color w:val="auto"/>
          <w:sz w:val="28"/>
          <w:szCs w:val="28"/>
          <w:highlight w:val="none"/>
        </w:rPr>
        <w:t>谈判费用</w:t>
      </w:r>
    </w:p>
    <w:p w14:paraId="033FBE89">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 供应商应承担所有与准备和参加谈判有关的费用，无论采购结果如何，</w:t>
      </w:r>
      <w:r>
        <w:rPr>
          <w:rFonts w:hint="eastAsia" w:ascii="宋体" w:hAnsi="宋体" w:eastAsia="宋体" w:cs="宋体"/>
          <w:color w:val="auto"/>
          <w:sz w:val="28"/>
          <w:szCs w:val="28"/>
          <w:highlight w:val="none"/>
          <w:lang w:val="en-US"/>
        </w:rPr>
        <w:t>招标代理机构</w:t>
      </w:r>
      <w:r>
        <w:rPr>
          <w:rFonts w:hint="eastAsia" w:ascii="宋体" w:hAnsi="宋体" w:eastAsia="宋体" w:cs="宋体"/>
          <w:color w:val="auto"/>
          <w:sz w:val="28"/>
          <w:szCs w:val="28"/>
          <w:highlight w:val="none"/>
        </w:rPr>
        <w:t>和采购人在任何情况下均无义务和责任承担这些费用。</w:t>
      </w:r>
    </w:p>
    <w:p w14:paraId="176EF999">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rPr>
        <w:t>4.2 本次代理全部费用由中标人支付。本次代理费及评</w:t>
      </w:r>
      <w:r>
        <w:rPr>
          <w:rFonts w:hint="eastAsia" w:ascii="宋体" w:hAnsi="宋体" w:cs="宋体"/>
          <w:color w:val="auto"/>
          <w:sz w:val="28"/>
          <w:szCs w:val="28"/>
          <w:highlight w:val="none"/>
          <w:lang w:val="en-US" w:eastAsia="zh-CN"/>
        </w:rPr>
        <w:t>审</w:t>
      </w:r>
      <w:r>
        <w:rPr>
          <w:rFonts w:hint="eastAsia" w:ascii="宋体" w:hAnsi="宋体" w:eastAsia="宋体" w:cs="宋体"/>
          <w:color w:val="auto"/>
          <w:sz w:val="28"/>
          <w:szCs w:val="28"/>
          <w:highlight w:val="none"/>
        </w:rPr>
        <w:t>费由中标人支付。招标代理费按</w:t>
      </w:r>
      <w:r>
        <w:rPr>
          <w:rFonts w:hint="eastAsia" w:ascii="宋体" w:hAnsi="宋体" w:eastAsia="宋体" w:cs="宋体"/>
          <w:color w:val="auto"/>
          <w:sz w:val="28"/>
          <w:szCs w:val="28"/>
          <w:highlight w:val="none"/>
          <w:lang w:val="en-US" w:eastAsia="zh-CN"/>
        </w:rPr>
        <w:t>【2002】1980</w:t>
      </w:r>
      <w:r>
        <w:rPr>
          <w:rFonts w:hint="eastAsia" w:ascii="宋体" w:hAnsi="宋体" w:eastAsia="宋体" w:cs="宋体"/>
          <w:color w:val="auto"/>
          <w:sz w:val="28"/>
          <w:szCs w:val="28"/>
          <w:highlight w:val="none"/>
        </w:rPr>
        <w:t>文规定的</w:t>
      </w: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0%计算计取，评</w:t>
      </w:r>
      <w:r>
        <w:rPr>
          <w:rFonts w:hint="eastAsia" w:ascii="宋体" w:hAnsi="宋体" w:cs="宋体"/>
          <w:color w:val="auto"/>
          <w:sz w:val="28"/>
          <w:szCs w:val="28"/>
          <w:highlight w:val="none"/>
          <w:lang w:val="en-US" w:eastAsia="zh-CN"/>
        </w:rPr>
        <w:t>审</w:t>
      </w:r>
      <w:r>
        <w:rPr>
          <w:rFonts w:hint="eastAsia" w:ascii="宋体" w:hAnsi="宋体" w:eastAsia="宋体" w:cs="宋体"/>
          <w:color w:val="auto"/>
          <w:sz w:val="28"/>
          <w:szCs w:val="28"/>
          <w:highlight w:val="none"/>
        </w:rPr>
        <w:t>费按实</w:t>
      </w:r>
      <w:r>
        <w:rPr>
          <w:rFonts w:hint="eastAsia" w:ascii="宋体" w:hAnsi="宋体" w:eastAsia="宋体" w:cs="宋体"/>
          <w:color w:val="auto"/>
          <w:sz w:val="28"/>
          <w:szCs w:val="28"/>
          <w:highlight w:val="none"/>
          <w:lang w:val="en-US" w:eastAsia="zh-CN"/>
        </w:rPr>
        <w:t>计</w:t>
      </w:r>
      <w:r>
        <w:rPr>
          <w:rFonts w:hint="eastAsia" w:ascii="宋体" w:hAnsi="宋体" w:eastAsia="宋体" w:cs="宋体"/>
          <w:color w:val="auto"/>
          <w:sz w:val="28"/>
          <w:szCs w:val="28"/>
          <w:highlight w:val="none"/>
        </w:rPr>
        <w:t>取，</w:t>
      </w:r>
      <w:r>
        <w:rPr>
          <w:rFonts w:hint="eastAsia" w:ascii="宋体" w:hAnsi="宋体" w:eastAsia="宋体" w:cs="宋体"/>
          <w:color w:val="auto"/>
          <w:sz w:val="28"/>
          <w:szCs w:val="28"/>
          <w:highlight w:val="none"/>
          <w:lang w:val="en-US" w:eastAsia="zh-CN"/>
        </w:rPr>
        <w:t>所有</w:t>
      </w:r>
      <w:r>
        <w:rPr>
          <w:rFonts w:hint="eastAsia" w:ascii="宋体" w:hAnsi="宋体" w:eastAsia="宋体" w:cs="宋体"/>
          <w:color w:val="auto"/>
          <w:sz w:val="28"/>
          <w:szCs w:val="28"/>
          <w:highlight w:val="none"/>
        </w:rPr>
        <w:t>费用</w:t>
      </w:r>
      <w:r>
        <w:rPr>
          <w:rFonts w:hint="eastAsia" w:ascii="宋体" w:hAnsi="宋体" w:eastAsia="宋体" w:cs="宋体"/>
          <w:color w:val="auto"/>
          <w:sz w:val="28"/>
          <w:szCs w:val="28"/>
          <w:highlight w:val="none"/>
          <w:lang w:val="en-US" w:eastAsia="zh-CN"/>
        </w:rPr>
        <w:t>包</w:t>
      </w:r>
      <w:r>
        <w:rPr>
          <w:rFonts w:hint="eastAsia" w:ascii="宋体" w:hAnsi="宋体" w:eastAsia="宋体" w:cs="宋体"/>
          <w:color w:val="auto"/>
          <w:sz w:val="28"/>
          <w:szCs w:val="28"/>
          <w:highlight w:val="none"/>
        </w:rPr>
        <w:t>含在投标报价</w:t>
      </w:r>
      <w:r>
        <w:rPr>
          <w:rFonts w:hint="eastAsia" w:ascii="宋体" w:hAnsi="宋体" w:eastAsia="宋体" w:cs="宋体"/>
          <w:color w:val="auto"/>
          <w:sz w:val="28"/>
          <w:szCs w:val="28"/>
          <w:highlight w:val="none"/>
          <w:lang w:val="en-US" w:eastAsia="zh-CN"/>
        </w:rPr>
        <w:t>总价</w:t>
      </w:r>
      <w:r>
        <w:rPr>
          <w:rFonts w:hint="eastAsia" w:ascii="宋体" w:hAnsi="宋体" w:eastAsia="宋体" w:cs="宋体"/>
          <w:color w:val="auto"/>
          <w:sz w:val="28"/>
          <w:szCs w:val="28"/>
          <w:highlight w:val="none"/>
        </w:rPr>
        <w:t>中，</w:t>
      </w:r>
      <w:r>
        <w:rPr>
          <w:rFonts w:hint="eastAsia" w:ascii="宋体" w:hAnsi="宋体" w:eastAsia="宋体" w:cs="宋体"/>
          <w:color w:val="auto"/>
          <w:sz w:val="28"/>
          <w:szCs w:val="28"/>
          <w:highlight w:val="none"/>
          <w:lang w:val="en-US" w:eastAsia="zh-CN"/>
        </w:rPr>
        <w:t>不单独立项，</w:t>
      </w:r>
      <w:r>
        <w:rPr>
          <w:rFonts w:hint="eastAsia" w:ascii="宋体" w:hAnsi="宋体" w:eastAsia="宋体" w:cs="宋体"/>
          <w:color w:val="auto"/>
          <w:sz w:val="28"/>
          <w:szCs w:val="28"/>
          <w:highlight w:val="none"/>
        </w:rPr>
        <w:t>结算时不予另计。请投标人充分考虑在投标报价中。</w:t>
      </w:r>
    </w:p>
    <w:p w14:paraId="2B6809A8">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二、响应文件编制</w:t>
      </w:r>
    </w:p>
    <w:p w14:paraId="341A4A93">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5.</w:t>
      </w:r>
      <w:r>
        <w:rPr>
          <w:rFonts w:hint="eastAsia" w:ascii="宋体" w:hAnsi="宋体" w:eastAsia="宋体" w:cs="宋体"/>
          <w:color w:val="auto"/>
          <w:sz w:val="28"/>
          <w:szCs w:val="28"/>
          <w:highlight w:val="none"/>
        </w:rPr>
        <w:t>供应商应当按照谈判文件的要求编制响应文件，并对其提交的响应文件真实性、合法性承担法律责任。未特别指明的，所有技术资料、认证、证明等均以提交的有效的证明文件复印件为依据。</w:t>
      </w:r>
    </w:p>
    <w:p w14:paraId="4DEC7C6C">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6.响应文件的语言、计量单位、货币和编制</w:t>
      </w:r>
    </w:p>
    <w:p w14:paraId="18214334">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 提交的响应文件、技术文件和资料，包括图纸中的说明，以及供应商与</w:t>
      </w:r>
      <w:r>
        <w:rPr>
          <w:rFonts w:hint="eastAsia" w:ascii="宋体" w:hAnsi="宋体" w:eastAsia="宋体" w:cs="宋体"/>
          <w:color w:val="auto"/>
          <w:sz w:val="28"/>
          <w:szCs w:val="28"/>
          <w:highlight w:val="none"/>
          <w:lang w:val="en-US"/>
        </w:rPr>
        <w:t>招标代理</w:t>
      </w:r>
      <w:r>
        <w:rPr>
          <w:rFonts w:hint="eastAsia" w:ascii="宋体" w:hAnsi="宋体" w:eastAsia="宋体" w:cs="宋体"/>
          <w:color w:val="auto"/>
          <w:sz w:val="28"/>
          <w:szCs w:val="28"/>
          <w:highlight w:val="none"/>
        </w:rPr>
        <w:t>就有关谈判的所有来往函电均应使用中文。响应文件中若有英文或其他语言文字的资料，应提供相应的中文翻译资料。对不同文本响应文件的解释发生异议的，以中文文本为准。</w:t>
      </w:r>
    </w:p>
    <w:p w14:paraId="38374C87">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6.2 供应商所使用的计量单位应为国家法定计量单位。</w:t>
      </w:r>
    </w:p>
    <w:p w14:paraId="34145E2B">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6.3 供应商应用人民币报价。</w:t>
      </w:r>
    </w:p>
    <w:p w14:paraId="114D8D48">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6.4 响应文件应字迹清楚、内容齐全、不得涂改。如有修改，修改处须有供应商公章或法定代表人或其授权谈判代表签字。</w:t>
      </w:r>
    </w:p>
    <w:p w14:paraId="2F161553">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6.5 响应文件应按照谈判文件规定的顺序，统一用A4规格幅面打印、</w:t>
      </w:r>
      <w:r>
        <w:rPr>
          <w:rFonts w:hint="eastAsia" w:ascii="宋体" w:hAnsi="宋体" w:eastAsia="宋体" w:cs="宋体"/>
          <w:color w:val="auto"/>
          <w:sz w:val="28"/>
          <w:szCs w:val="28"/>
          <w:highlight w:val="none"/>
          <w:lang w:val="en-US"/>
        </w:rPr>
        <w:t>胶</w:t>
      </w:r>
      <w:r>
        <w:rPr>
          <w:rFonts w:hint="eastAsia" w:ascii="宋体" w:hAnsi="宋体" w:eastAsia="宋体" w:cs="宋体"/>
          <w:color w:val="auto"/>
          <w:sz w:val="28"/>
          <w:szCs w:val="28"/>
          <w:highlight w:val="none"/>
        </w:rPr>
        <w:t>装成册并编制目录，由于编排混乱导致谈判文件被误读或查找不到，责任由供应商承担。</w:t>
      </w:r>
    </w:p>
    <w:p w14:paraId="38C44582">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6.6 响应文件应逐页编码，不得跳页（包括但不限于授权、证明材料、声明及产品介绍、彩页等）。</w:t>
      </w:r>
    </w:p>
    <w:p w14:paraId="2405D1BF">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6.7 供应商应在响应文件中写清相应的项目编号、项目名称、供应商名称、地址、电话、传真等。</w:t>
      </w:r>
    </w:p>
    <w:p w14:paraId="0DB5D226">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7.响应文件的组成</w:t>
      </w:r>
    </w:p>
    <w:p w14:paraId="36266700">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7.1 供应商应当根据谈判文件要求编制响应文件，并根据自己的商务能力、技术水平对谈判文件提出的要求和条件逐条标明是否响应。响应文件由商务部分、技术部分、价格部分，以及其他部分组成。</w:t>
      </w:r>
    </w:p>
    <w:p w14:paraId="6EEA84E6">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7.2</w:t>
      </w:r>
      <w:r>
        <w:rPr>
          <w:rFonts w:hint="eastAsia" w:ascii="宋体" w:hAnsi="宋体" w:eastAsia="宋体" w:cs="宋体"/>
          <w:bCs/>
          <w:color w:val="auto"/>
          <w:sz w:val="28"/>
          <w:szCs w:val="28"/>
          <w:highlight w:val="none"/>
        </w:rPr>
        <w:t xml:space="preserve"> </w:t>
      </w:r>
      <w:r>
        <w:rPr>
          <w:rFonts w:hint="eastAsia" w:ascii="宋体" w:hAnsi="宋体" w:eastAsia="宋体" w:cs="宋体"/>
          <w:b/>
          <w:bCs/>
          <w:color w:val="auto"/>
          <w:sz w:val="28"/>
          <w:szCs w:val="28"/>
          <w:highlight w:val="none"/>
        </w:rPr>
        <w:t>响应文件的商务部分。</w:t>
      </w:r>
      <w:r>
        <w:rPr>
          <w:rFonts w:hint="eastAsia" w:ascii="宋体" w:hAnsi="宋体" w:eastAsia="宋体" w:cs="宋体"/>
          <w:color w:val="auto"/>
          <w:sz w:val="28"/>
          <w:szCs w:val="28"/>
          <w:highlight w:val="none"/>
        </w:rPr>
        <w:t>商务部分是证明供应商有资格参加谈判和成交后有能力履行合同的文件，这些文件应能满足竞争性谈判采购文件的要求，包括但不限于下列文件，其中加“★”项目不得有缺失或无效：</w:t>
      </w:r>
    </w:p>
    <w:p w14:paraId="70E3228E">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谈判申请及声明；</w:t>
      </w:r>
    </w:p>
    <w:p w14:paraId="599CD09B">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 法定代表人授权委托书及委托代理人的身份证复印件； </w:t>
      </w:r>
    </w:p>
    <w:p w14:paraId="094661CD">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rPr>
        <w:t>3</w:t>
      </w:r>
      <w:r>
        <w:rPr>
          <w:rFonts w:hint="eastAsia" w:ascii="宋体" w:hAnsi="宋体" w:eastAsia="宋体" w:cs="宋体"/>
          <w:color w:val="auto"/>
          <w:sz w:val="28"/>
          <w:szCs w:val="28"/>
          <w:highlight w:val="none"/>
        </w:rPr>
        <w:t>）★ 第一章谈判邀请中第</w:t>
      </w:r>
      <w:r>
        <w:rPr>
          <w:rFonts w:hint="eastAsia" w:ascii="宋体" w:hAnsi="宋体" w:eastAsia="宋体" w:cs="宋体"/>
          <w:color w:val="auto"/>
          <w:sz w:val="28"/>
          <w:szCs w:val="28"/>
          <w:highlight w:val="none"/>
          <w:lang w:val="en-US" w:eastAsia="zh-CN"/>
        </w:rPr>
        <w:t>二</w:t>
      </w:r>
      <w:r>
        <w:rPr>
          <w:rFonts w:hint="eastAsia" w:ascii="宋体" w:hAnsi="宋体" w:eastAsia="宋体" w:cs="宋体"/>
          <w:color w:val="auto"/>
          <w:sz w:val="28"/>
          <w:szCs w:val="28"/>
          <w:highlight w:val="none"/>
        </w:rPr>
        <w:t>条规定的资格证明材料；</w:t>
      </w:r>
    </w:p>
    <w:p w14:paraId="1117C2D0">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rPr>
        <w:t>4</w:t>
      </w:r>
      <w:r>
        <w:rPr>
          <w:rFonts w:hint="eastAsia" w:ascii="宋体" w:hAnsi="宋体" w:eastAsia="宋体" w:cs="宋体"/>
          <w:color w:val="auto"/>
          <w:sz w:val="28"/>
          <w:szCs w:val="28"/>
          <w:highlight w:val="none"/>
        </w:rPr>
        <w:t>）合同条款；</w:t>
      </w:r>
    </w:p>
    <w:p w14:paraId="519160E6">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rPr>
        <w:t>5</w:t>
      </w:r>
      <w:r>
        <w:rPr>
          <w:rFonts w:hint="eastAsia" w:ascii="宋体" w:hAnsi="宋体" w:eastAsia="宋体" w:cs="宋体"/>
          <w:color w:val="auto"/>
          <w:sz w:val="28"/>
          <w:szCs w:val="28"/>
          <w:highlight w:val="none"/>
        </w:rPr>
        <w:t>）供应商认为需要提供的其他资格证明文件和商务资料。</w:t>
      </w:r>
    </w:p>
    <w:p w14:paraId="649452F4">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7.3</w:t>
      </w:r>
      <w:r>
        <w:rPr>
          <w:rFonts w:hint="eastAsia" w:ascii="宋体" w:hAnsi="宋体" w:eastAsia="宋体" w:cs="宋体"/>
          <w:bCs/>
          <w:color w:val="auto"/>
          <w:sz w:val="28"/>
          <w:szCs w:val="28"/>
          <w:highlight w:val="none"/>
        </w:rPr>
        <w:t xml:space="preserve"> </w:t>
      </w:r>
      <w:r>
        <w:rPr>
          <w:rFonts w:hint="eastAsia" w:ascii="宋体" w:hAnsi="宋体" w:eastAsia="宋体" w:cs="宋体"/>
          <w:b/>
          <w:bCs/>
          <w:color w:val="auto"/>
          <w:sz w:val="28"/>
          <w:szCs w:val="28"/>
          <w:highlight w:val="none"/>
        </w:rPr>
        <w:t>响应文件的技术部分。</w:t>
      </w:r>
      <w:r>
        <w:rPr>
          <w:rFonts w:hint="eastAsia" w:ascii="宋体" w:hAnsi="宋体" w:eastAsia="宋体" w:cs="宋体"/>
          <w:color w:val="auto"/>
          <w:sz w:val="28"/>
          <w:szCs w:val="28"/>
          <w:highlight w:val="none"/>
        </w:rPr>
        <w:t>技术部分是证明供应商提供的</w:t>
      </w:r>
      <w:r>
        <w:rPr>
          <w:rFonts w:hint="eastAsia" w:ascii="宋体" w:hAnsi="宋体" w:eastAsia="宋体" w:cs="宋体"/>
          <w:color w:val="auto"/>
          <w:sz w:val="28"/>
          <w:szCs w:val="28"/>
          <w:highlight w:val="none"/>
          <w:lang w:val="en-US"/>
        </w:rPr>
        <w:t>服务</w:t>
      </w:r>
      <w:r>
        <w:rPr>
          <w:rFonts w:hint="eastAsia" w:ascii="宋体" w:hAnsi="宋体" w:eastAsia="宋体" w:cs="宋体"/>
          <w:color w:val="auto"/>
          <w:sz w:val="28"/>
          <w:szCs w:val="28"/>
          <w:highlight w:val="none"/>
        </w:rPr>
        <w:t>是合格的，并符合谈判文件要求的证明文件，以及对</w:t>
      </w:r>
      <w:r>
        <w:rPr>
          <w:rFonts w:hint="eastAsia" w:ascii="宋体" w:hAnsi="宋体" w:eastAsia="宋体" w:cs="宋体"/>
          <w:color w:val="auto"/>
          <w:sz w:val="28"/>
          <w:szCs w:val="28"/>
          <w:highlight w:val="none"/>
          <w:lang w:val="en-US"/>
        </w:rPr>
        <w:t>服务</w:t>
      </w:r>
      <w:r>
        <w:rPr>
          <w:rFonts w:hint="eastAsia" w:ascii="宋体" w:hAnsi="宋体" w:eastAsia="宋体" w:cs="宋体"/>
          <w:color w:val="auto"/>
          <w:sz w:val="28"/>
          <w:szCs w:val="28"/>
          <w:highlight w:val="none"/>
        </w:rPr>
        <w:t>的详细说明，这些文件可以是文字资料、图纸和数据等。提供的</w:t>
      </w:r>
      <w:r>
        <w:rPr>
          <w:rFonts w:hint="eastAsia" w:ascii="宋体" w:hAnsi="宋体" w:eastAsia="宋体" w:cs="宋体"/>
          <w:color w:val="auto"/>
          <w:sz w:val="28"/>
          <w:szCs w:val="28"/>
          <w:highlight w:val="none"/>
          <w:lang w:val="en-US"/>
        </w:rPr>
        <w:t>服务</w:t>
      </w:r>
      <w:r>
        <w:rPr>
          <w:rFonts w:hint="eastAsia" w:ascii="宋体" w:hAnsi="宋体" w:eastAsia="宋体" w:cs="宋体"/>
          <w:color w:val="auto"/>
          <w:sz w:val="28"/>
          <w:szCs w:val="28"/>
          <w:highlight w:val="none"/>
        </w:rPr>
        <w:t>如与谈判文件要求有不符之处，应说明其差别之所在。包括但不限于下列文件：</w:t>
      </w:r>
    </w:p>
    <w:p w14:paraId="70B668C3">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rPr>
        <w:t>1</w:t>
      </w:r>
      <w:r>
        <w:rPr>
          <w:rFonts w:hint="eastAsia" w:ascii="宋体" w:hAnsi="宋体" w:eastAsia="宋体" w:cs="宋体"/>
          <w:color w:val="auto"/>
          <w:sz w:val="28"/>
          <w:szCs w:val="28"/>
          <w:highlight w:val="none"/>
        </w:rPr>
        <w:t>）供应商认为需要提供的其他技术资料。</w:t>
      </w:r>
    </w:p>
    <w:p w14:paraId="67E54AA4">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7.4</w:t>
      </w:r>
      <w:r>
        <w:rPr>
          <w:rFonts w:hint="eastAsia" w:ascii="宋体" w:hAnsi="宋体" w:eastAsia="宋体" w:cs="宋体"/>
          <w:color w:val="auto"/>
          <w:sz w:val="28"/>
          <w:szCs w:val="28"/>
          <w:highlight w:val="none"/>
        </w:rPr>
        <w:t xml:space="preserve"> </w:t>
      </w:r>
      <w:r>
        <w:rPr>
          <w:rFonts w:hint="eastAsia" w:ascii="宋体" w:hAnsi="宋体" w:eastAsia="宋体" w:cs="宋体"/>
          <w:b/>
          <w:color w:val="auto"/>
          <w:sz w:val="28"/>
          <w:szCs w:val="28"/>
          <w:highlight w:val="none"/>
        </w:rPr>
        <w:t>响应文件的价格部分</w:t>
      </w:r>
    </w:p>
    <w:p w14:paraId="2A3B5F0B">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（1）价格部分是对</w:t>
      </w:r>
      <w:r>
        <w:rPr>
          <w:rFonts w:hint="eastAsia" w:ascii="宋体" w:hAnsi="宋体" w:eastAsia="宋体" w:cs="宋体"/>
          <w:color w:val="auto"/>
          <w:sz w:val="28"/>
          <w:szCs w:val="28"/>
          <w:highlight w:val="none"/>
          <w:lang w:val="en-US"/>
        </w:rPr>
        <w:t>服务</w:t>
      </w:r>
      <w:r>
        <w:rPr>
          <w:rFonts w:hint="eastAsia" w:ascii="宋体" w:hAnsi="宋体" w:eastAsia="宋体" w:cs="宋体"/>
          <w:color w:val="auto"/>
          <w:sz w:val="28"/>
          <w:szCs w:val="28"/>
          <w:highlight w:val="none"/>
        </w:rPr>
        <w:t>价格构成的说明，谈判文件如没有特别说明的话，对每一项</w:t>
      </w:r>
      <w:r>
        <w:rPr>
          <w:rFonts w:hint="eastAsia" w:ascii="宋体" w:hAnsi="宋体" w:eastAsia="宋体" w:cs="宋体"/>
          <w:color w:val="auto"/>
          <w:sz w:val="28"/>
          <w:szCs w:val="28"/>
          <w:highlight w:val="none"/>
          <w:lang w:val="en-US"/>
        </w:rPr>
        <w:t>服务</w:t>
      </w:r>
      <w:r>
        <w:rPr>
          <w:rFonts w:hint="eastAsia" w:ascii="宋体" w:hAnsi="宋体" w:eastAsia="宋体" w:cs="宋体"/>
          <w:color w:val="auto"/>
          <w:sz w:val="28"/>
          <w:szCs w:val="28"/>
          <w:highlight w:val="none"/>
        </w:rPr>
        <w:t>仅接受一个价格。</w:t>
      </w:r>
    </w:p>
    <w:p w14:paraId="61002F3B">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（2）报价应包含完成本</w:t>
      </w:r>
      <w:r>
        <w:rPr>
          <w:rFonts w:hint="eastAsia" w:ascii="宋体" w:hAnsi="宋体" w:eastAsia="宋体" w:cs="宋体"/>
          <w:color w:val="auto"/>
          <w:sz w:val="28"/>
          <w:szCs w:val="28"/>
          <w:highlight w:val="none"/>
          <w:lang w:val="en-US"/>
        </w:rPr>
        <w:t>服务</w:t>
      </w:r>
      <w:r>
        <w:rPr>
          <w:rFonts w:hint="eastAsia" w:ascii="宋体" w:hAnsi="宋体" w:eastAsia="宋体" w:cs="宋体"/>
          <w:color w:val="auto"/>
          <w:sz w:val="28"/>
          <w:szCs w:val="28"/>
          <w:highlight w:val="none"/>
        </w:rPr>
        <w:t>项目发生的所有含税费用、支付给员工的工资和国家强制缴纳的各种社会保障资金，</w:t>
      </w:r>
      <w:r>
        <w:rPr>
          <w:rFonts w:hint="eastAsia" w:ascii="宋体" w:hAnsi="宋体" w:eastAsia="宋体" w:cs="宋体"/>
          <w:bCs/>
          <w:color w:val="auto"/>
          <w:sz w:val="28"/>
          <w:szCs w:val="28"/>
          <w:highlight w:val="none"/>
        </w:rPr>
        <w:t>招标代理服务费</w:t>
      </w:r>
      <w:r>
        <w:rPr>
          <w:rFonts w:hint="eastAsia" w:ascii="宋体" w:hAnsi="宋体" w:eastAsia="宋体" w:cs="宋体"/>
          <w:bCs/>
          <w:color w:val="auto"/>
          <w:sz w:val="28"/>
          <w:szCs w:val="28"/>
          <w:highlight w:val="none"/>
          <w:lang w:val="en-US" w:eastAsia="zh-CN"/>
        </w:rPr>
        <w:t>，</w:t>
      </w:r>
      <w:r>
        <w:rPr>
          <w:rFonts w:hint="eastAsia" w:ascii="宋体" w:hAnsi="宋体" w:eastAsia="宋体" w:cs="宋体"/>
          <w:bCs/>
          <w:color w:val="auto"/>
          <w:sz w:val="28"/>
          <w:szCs w:val="28"/>
          <w:highlight w:val="none"/>
        </w:rPr>
        <w:t>专家评审费按实际支付</w:t>
      </w:r>
      <w:r>
        <w:rPr>
          <w:rFonts w:hint="eastAsia" w:ascii="宋体" w:hAnsi="宋体" w:eastAsia="宋体" w:cs="宋体"/>
          <w:bCs/>
          <w:color w:val="auto"/>
          <w:sz w:val="28"/>
          <w:szCs w:val="28"/>
          <w:highlight w:val="none"/>
          <w:lang w:val="en-US"/>
        </w:rPr>
        <w:t>,，</w:t>
      </w:r>
      <w:r>
        <w:rPr>
          <w:rFonts w:hint="eastAsia" w:ascii="宋体" w:hAnsi="宋体" w:eastAsia="宋体" w:cs="宋体"/>
          <w:color w:val="auto"/>
          <w:sz w:val="28"/>
          <w:szCs w:val="28"/>
          <w:highlight w:val="none"/>
        </w:rPr>
        <w:t>以及供应商认为需要的其他费用等。</w:t>
      </w:r>
    </w:p>
    <w:p w14:paraId="2F052E46">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（3）供应商应充分考虑到市场价格变动，以及项目实施过程中的不可预见因素，一旦成交，总价格不变。如果有漏项，视同让利。</w:t>
      </w:r>
    </w:p>
    <w:p w14:paraId="16A25579">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w:t>
      </w:r>
      <w:r>
        <w:rPr>
          <w:rFonts w:hint="eastAsia" w:ascii="宋体" w:hAnsi="宋体" w:eastAsia="宋体" w:cs="宋体"/>
          <w:bCs/>
          <w:color w:val="auto"/>
          <w:sz w:val="28"/>
          <w:szCs w:val="28"/>
          <w:highlight w:val="none"/>
        </w:rPr>
        <w:t>经谈判后，如果成交价高于或低于供应商在响应文件首次报价的，分项报价同比例调整。</w:t>
      </w:r>
    </w:p>
    <w:p w14:paraId="40B8E668">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（5）供应商应在《报价表》《分项报价表》等标明</w:t>
      </w:r>
      <w:r>
        <w:rPr>
          <w:rFonts w:hint="eastAsia" w:ascii="宋体" w:hAnsi="宋体" w:eastAsia="宋体" w:cs="宋体"/>
          <w:color w:val="auto"/>
          <w:sz w:val="28"/>
          <w:szCs w:val="28"/>
          <w:highlight w:val="none"/>
          <w:lang w:val="en-US"/>
        </w:rPr>
        <w:t>服务</w:t>
      </w:r>
      <w:r>
        <w:rPr>
          <w:rFonts w:hint="eastAsia" w:ascii="宋体" w:hAnsi="宋体" w:eastAsia="宋体" w:cs="宋体"/>
          <w:color w:val="auto"/>
          <w:sz w:val="28"/>
          <w:szCs w:val="28"/>
          <w:highlight w:val="none"/>
        </w:rPr>
        <w:t>的单价、总价以及分项报价。供应商系小企业（含小型、微型企业）、残疾人福利性单位、监狱企业，并提供本企业</w:t>
      </w:r>
      <w:r>
        <w:rPr>
          <w:rFonts w:hint="eastAsia" w:ascii="宋体" w:hAnsi="宋体" w:eastAsia="宋体" w:cs="宋体"/>
          <w:color w:val="auto"/>
          <w:sz w:val="28"/>
          <w:szCs w:val="28"/>
          <w:highlight w:val="none"/>
          <w:lang w:val="en-US"/>
        </w:rPr>
        <w:t>服务</w:t>
      </w:r>
      <w:r>
        <w:rPr>
          <w:rFonts w:hint="eastAsia" w:ascii="宋体" w:hAnsi="宋体" w:eastAsia="宋体" w:cs="宋体"/>
          <w:color w:val="auto"/>
          <w:sz w:val="28"/>
          <w:szCs w:val="28"/>
          <w:highlight w:val="none"/>
        </w:rPr>
        <w:t>的，须在《报价表》《分项报价表》中注明,供应商应当如实申报,否则谈判小组有权取消其小微企业、残疾人福利性单位、监狱企业优惠政策。</w:t>
      </w:r>
    </w:p>
    <w:p w14:paraId="1D89414D">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7.5</w:t>
      </w:r>
      <w:r>
        <w:rPr>
          <w:rFonts w:hint="eastAsia" w:ascii="宋体" w:hAnsi="宋体" w:eastAsia="宋体" w:cs="宋体"/>
          <w:color w:val="auto"/>
          <w:sz w:val="28"/>
          <w:szCs w:val="28"/>
          <w:highlight w:val="none"/>
        </w:rPr>
        <w:t xml:space="preserve"> </w:t>
      </w:r>
      <w:r>
        <w:rPr>
          <w:rFonts w:hint="eastAsia" w:ascii="宋体" w:hAnsi="宋体" w:eastAsia="宋体" w:cs="宋体"/>
          <w:b/>
          <w:color w:val="auto"/>
          <w:sz w:val="28"/>
          <w:szCs w:val="28"/>
          <w:highlight w:val="none"/>
        </w:rPr>
        <w:t>响应文件的其他部分。</w:t>
      </w:r>
      <w:r>
        <w:rPr>
          <w:rFonts w:hint="eastAsia" w:ascii="宋体" w:hAnsi="宋体" w:eastAsia="宋体" w:cs="宋体"/>
          <w:color w:val="auto"/>
          <w:sz w:val="28"/>
          <w:szCs w:val="28"/>
          <w:highlight w:val="none"/>
        </w:rPr>
        <w:t>供应商根据编制响应文件需要提供的其他相关文件。</w:t>
      </w:r>
    </w:p>
    <w:p w14:paraId="3214E155">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auto"/>
          <w:sz w:val="28"/>
          <w:szCs w:val="28"/>
          <w:highlight w:val="none"/>
          <w:lang w:val="en-US"/>
        </w:rPr>
      </w:pPr>
      <w:r>
        <w:rPr>
          <w:rFonts w:hint="eastAsia" w:ascii="宋体" w:hAnsi="宋体" w:eastAsia="宋体" w:cs="宋体"/>
          <w:b/>
          <w:bCs/>
          <w:color w:val="auto"/>
          <w:sz w:val="28"/>
          <w:szCs w:val="28"/>
          <w:highlight w:val="none"/>
        </w:rPr>
        <w:t>8.谈判保证金</w:t>
      </w:r>
      <w:r>
        <w:rPr>
          <w:rFonts w:hint="eastAsia" w:ascii="宋体" w:hAnsi="宋体" w:eastAsia="宋体" w:cs="宋体"/>
          <w:b/>
          <w:bCs/>
          <w:color w:val="auto"/>
          <w:sz w:val="28"/>
          <w:szCs w:val="28"/>
          <w:highlight w:val="none"/>
          <w:lang w:val="en-US"/>
        </w:rPr>
        <w:t xml:space="preserve">  此项目无需提供投标保证金。</w:t>
      </w:r>
    </w:p>
    <w:p w14:paraId="2ACF7F64">
      <w:pPr>
        <w:keepNext w:val="0"/>
        <w:keepLines w:val="0"/>
        <w:pageBreakBefore w:val="0"/>
        <w:kinsoku/>
        <w:wordWrap/>
        <w:overflowPunct/>
        <w:topLinePunct w:val="0"/>
        <w:autoSpaceDE/>
        <w:autoSpaceDN/>
        <w:bidi w:val="0"/>
        <w:adjustRightInd/>
        <w:snapToGrid/>
        <w:spacing w:line="360" w:lineRule="auto"/>
        <w:ind w:firstLine="482"/>
        <w:textAlignment w:val="auto"/>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三、响应文件签署与提交</w:t>
      </w:r>
    </w:p>
    <w:p w14:paraId="4643B640">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9.响应文件签署</w:t>
      </w:r>
    </w:p>
    <w:p w14:paraId="7D24A6B2">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9.1 响应文件应由供应商法定代表人或授权代表签字并加盖公章。</w:t>
      </w:r>
    </w:p>
    <w:p w14:paraId="335B484A">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9.2 供应商应当在谈判文件要求提交响应文件的截止时间前，将响应文件密封送达指定地点。</w:t>
      </w:r>
    </w:p>
    <w:p w14:paraId="6E5BA88B">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9.3 有下列情形之一的响应文件将拒收</w:t>
      </w:r>
    </w:p>
    <w:p w14:paraId="7C3C656F">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（1）在谈判文件要求提交响应文件的截止时间之后送达的；</w:t>
      </w:r>
    </w:p>
    <w:p w14:paraId="02B8482C">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（2）未按谈判文件要求密封的。</w:t>
      </w:r>
    </w:p>
    <w:p w14:paraId="31F3DC98">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四、谈判</w:t>
      </w:r>
    </w:p>
    <w:p w14:paraId="2E139214">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10</w:t>
      </w:r>
      <w:r>
        <w:rPr>
          <w:rFonts w:hint="eastAsia" w:ascii="宋体" w:hAnsi="宋体" w:eastAsia="宋体" w:cs="宋体"/>
          <w:b/>
          <w:bCs/>
          <w:color w:val="auto"/>
          <w:sz w:val="28"/>
          <w:szCs w:val="28"/>
          <w:highlight w:val="none"/>
        </w:rPr>
        <w:t>.联合体</w:t>
      </w:r>
    </w:p>
    <w:p w14:paraId="7C6B7509">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10.1</w:t>
      </w:r>
      <w:r>
        <w:rPr>
          <w:rFonts w:hint="eastAsia" w:ascii="宋体" w:hAnsi="宋体" w:eastAsia="宋体" w:cs="宋体"/>
          <w:color w:val="auto"/>
          <w:sz w:val="28"/>
          <w:szCs w:val="28"/>
          <w:highlight w:val="none"/>
        </w:rPr>
        <w:t>两个以上的自然人、法人或者其他组织可以组成一个联合体，以一个供应商的身份共同参加竞争性谈判。</w:t>
      </w:r>
    </w:p>
    <w:p w14:paraId="7912B5B2">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10.2 鼓励大中型企业和其他自然人、法人或者其他组织与小型、微型企业组成联合体共同参加非专门面向中小企业的政府采购活动。大中型企业和其他自然人、法人或者其他组织可以与小型、微型企业组成联合体共同参加非专门面向中小企业的政府采购活动。联合协议中约定小型、微型企业的协议合同金额占到联合体协议合同总金额30%以上的，给予联合体2%的价格扣除。联合体各方均为小型、微型企业的，联合体视同为小型、微型企业享受</w:t>
      </w:r>
      <w:r>
        <w:rPr>
          <w:rFonts w:hint="eastAsia" w:ascii="宋体" w:hAnsi="宋体" w:eastAsia="宋体" w:cs="宋体"/>
          <w:color w:val="auto"/>
          <w:sz w:val="28"/>
          <w:szCs w:val="28"/>
          <w:highlight w:val="none"/>
          <w:lang w:val="en-US"/>
        </w:rPr>
        <w:t>10</w:t>
      </w:r>
      <w:r>
        <w:rPr>
          <w:rFonts w:hint="eastAsia" w:ascii="宋体" w:hAnsi="宋体" w:eastAsia="宋体" w:cs="宋体"/>
          <w:color w:val="auto"/>
          <w:sz w:val="28"/>
          <w:szCs w:val="28"/>
          <w:highlight w:val="none"/>
        </w:rPr>
        <w:t>%价格扣除。组成联合体的大中型企业和其他自然人、法人或者其他组织，与小型、微型企业之间不得存在投资关系。</w:t>
      </w:r>
    </w:p>
    <w:p w14:paraId="643408B2">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10.3以联合体形式参加竞争性谈判的，联合体各方均应当符合政府采购法第二十二条第一款规定的条件；采购人根据采购项目的特殊要求规定供应商特定条件的，联合体各方中至少应当有一方符合采购人规定的特定条件并在</w:t>
      </w:r>
      <w:r>
        <w:rPr>
          <w:rFonts w:hint="eastAsia" w:ascii="宋体" w:hAnsi="宋体" w:eastAsia="宋体" w:cs="宋体"/>
          <w:color w:val="auto"/>
          <w:sz w:val="28"/>
          <w:szCs w:val="28"/>
          <w:highlight w:val="none"/>
          <w:lang w:val="en-US"/>
        </w:rPr>
        <w:t>响应</w:t>
      </w:r>
      <w:r>
        <w:rPr>
          <w:rFonts w:hint="eastAsia" w:ascii="宋体" w:hAnsi="宋体" w:eastAsia="宋体" w:cs="宋体"/>
          <w:color w:val="auto"/>
          <w:sz w:val="28"/>
          <w:szCs w:val="28"/>
          <w:highlight w:val="none"/>
        </w:rPr>
        <w:t>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659C04BE">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10.4 联合体各方之间应当签订联合体协议，明确约定联合体各方承担的工作和相应的责任，并将联合体协议连同响应文件一并提交。联合体各方签订共同</w:t>
      </w:r>
      <w:r>
        <w:rPr>
          <w:rFonts w:hint="eastAsia" w:ascii="宋体" w:hAnsi="宋体" w:eastAsia="宋体" w:cs="宋体"/>
          <w:color w:val="auto"/>
          <w:sz w:val="28"/>
          <w:szCs w:val="28"/>
          <w:highlight w:val="none"/>
          <w:lang w:val="en-US"/>
        </w:rPr>
        <w:t>谈判</w:t>
      </w:r>
      <w:r>
        <w:rPr>
          <w:rFonts w:hint="eastAsia" w:ascii="宋体" w:hAnsi="宋体" w:eastAsia="宋体" w:cs="宋体"/>
          <w:color w:val="auto"/>
          <w:sz w:val="28"/>
          <w:szCs w:val="28"/>
          <w:highlight w:val="none"/>
        </w:rPr>
        <w:t>协议后，不得再以自己名义单独在同一项目中</w:t>
      </w:r>
      <w:r>
        <w:rPr>
          <w:rFonts w:hint="eastAsia" w:ascii="宋体" w:hAnsi="宋体" w:eastAsia="宋体" w:cs="宋体"/>
          <w:color w:val="auto"/>
          <w:sz w:val="28"/>
          <w:szCs w:val="28"/>
          <w:highlight w:val="none"/>
          <w:lang w:val="en-US"/>
        </w:rPr>
        <w:t>谈判</w:t>
      </w:r>
      <w:r>
        <w:rPr>
          <w:rFonts w:hint="eastAsia" w:ascii="宋体" w:hAnsi="宋体" w:eastAsia="宋体" w:cs="宋体"/>
          <w:color w:val="auto"/>
          <w:sz w:val="28"/>
          <w:szCs w:val="28"/>
          <w:highlight w:val="none"/>
        </w:rPr>
        <w:t>，也不得组成新的联合体参加同一项目</w:t>
      </w:r>
      <w:r>
        <w:rPr>
          <w:rFonts w:hint="eastAsia" w:ascii="宋体" w:hAnsi="宋体" w:eastAsia="宋体" w:cs="宋体"/>
          <w:color w:val="auto"/>
          <w:sz w:val="28"/>
          <w:szCs w:val="28"/>
          <w:highlight w:val="none"/>
          <w:lang w:val="en-US"/>
        </w:rPr>
        <w:t>谈判</w:t>
      </w:r>
      <w:r>
        <w:rPr>
          <w:rFonts w:hint="eastAsia" w:ascii="宋体" w:hAnsi="宋体" w:eastAsia="宋体" w:cs="宋体"/>
          <w:color w:val="auto"/>
          <w:sz w:val="28"/>
          <w:szCs w:val="28"/>
          <w:highlight w:val="none"/>
        </w:rPr>
        <w:t>。</w:t>
      </w:r>
    </w:p>
    <w:p w14:paraId="66EF042D">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11.谈判组织</w:t>
      </w:r>
    </w:p>
    <w:p w14:paraId="71ECA80E">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11.1 在提交响应文件时间截止后，</w:t>
      </w:r>
      <w:r>
        <w:rPr>
          <w:rFonts w:hint="eastAsia" w:ascii="宋体" w:hAnsi="宋体" w:eastAsia="宋体" w:cs="宋体"/>
          <w:color w:val="auto"/>
          <w:sz w:val="28"/>
          <w:szCs w:val="28"/>
          <w:highlight w:val="none"/>
          <w:lang w:val="en-US"/>
        </w:rPr>
        <w:t>招标代理</w:t>
      </w:r>
      <w:r>
        <w:rPr>
          <w:rFonts w:hint="eastAsia" w:ascii="宋体" w:hAnsi="宋体" w:eastAsia="宋体" w:cs="宋体"/>
          <w:color w:val="auto"/>
          <w:sz w:val="28"/>
          <w:szCs w:val="28"/>
          <w:highlight w:val="none"/>
        </w:rPr>
        <w:t>在规定的时间和地点组织谈判小组分别与供应商进行谈判。</w:t>
      </w:r>
    </w:p>
    <w:p w14:paraId="0170E129">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11.2 谈判工作由</w:t>
      </w:r>
      <w:r>
        <w:rPr>
          <w:rFonts w:hint="eastAsia" w:ascii="宋体" w:hAnsi="宋体" w:eastAsia="宋体" w:cs="宋体"/>
          <w:color w:val="auto"/>
          <w:sz w:val="28"/>
          <w:szCs w:val="28"/>
          <w:highlight w:val="none"/>
          <w:lang w:val="en-US"/>
        </w:rPr>
        <w:t>招标代理</w:t>
      </w:r>
      <w:r>
        <w:rPr>
          <w:rFonts w:hint="eastAsia" w:ascii="宋体" w:hAnsi="宋体" w:eastAsia="宋体" w:cs="宋体"/>
          <w:color w:val="auto"/>
          <w:sz w:val="28"/>
          <w:szCs w:val="28"/>
          <w:highlight w:val="none"/>
        </w:rPr>
        <w:t>负责组织，具体谈判事务由依法组建的谈判小组负责。</w:t>
      </w:r>
    </w:p>
    <w:p w14:paraId="56D3AA9C">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12.谈判程序</w:t>
      </w:r>
    </w:p>
    <w:p w14:paraId="68286B2B">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12.1 谈判小组评审供应商所递交的响应性文件，并根据谈判文件规定的程序、评定成交的标准等事项与实质性响应谈判文件要求的供应商进行谈判。未实质性响应谈判文件的响应文件按无效处理，谈判小组应告知有关供应商。</w:t>
      </w:r>
    </w:p>
    <w:p w14:paraId="7EDD28FD">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12.2 谈判小组所有成员集中与单一供应商分别进行谈判，所有参加谈判的供应商均有同等的谈判机会。</w:t>
      </w:r>
    </w:p>
    <w:p w14:paraId="6678A65D">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12.3 谈判过程中，谈判小组根据谈判文件和谈判情况可能实质性变动采购需求中的技术、服务要求以及合同条款。实质性变动是谈判文件的有效组成部分，谈判小组将以书面形式通知所有参加谈判的供应商。用“★”加注或特别说明的内容为实质性要求。</w:t>
      </w:r>
    </w:p>
    <w:p w14:paraId="7CCB37A6">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12.4 供应商应当按照谈判文件的变动情况和谈判小组的要求重新提交响应文件，并由其法定代表人或授权代表签字或者加盖公章。</w:t>
      </w:r>
    </w:p>
    <w:p w14:paraId="05C5E5C8">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12.5 谈判结束后，谈判小组将要求所有继续参加谈判的供应商在规定时间内提交最后报价。最后报价由其法定代表人或授权代表签字或者加盖公章，最后报价是供应商响应文件的有效组成部分。</w:t>
      </w:r>
    </w:p>
    <w:p w14:paraId="472FD3BC">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12.6已提交响应文件的供应商，在提交最后报价之前，可以根据谈判情况退出谈判。</w:t>
      </w:r>
    </w:p>
    <w:p w14:paraId="32073043">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rPr>
        <w:t>12.7 出现下列情形之一的响应文件按照无效</w:t>
      </w:r>
      <w:r>
        <w:rPr>
          <w:rFonts w:hint="eastAsia" w:ascii="宋体" w:hAnsi="宋体" w:eastAsia="宋体" w:cs="宋体"/>
          <w:b/>
          <w:color w:val="auto"/>
          <w:sz w:val="28"/>
          <w:szCs w:val="28"/>
          <w:highlight w:val="none"/>
          <w:lang w:val="en-US" w:eastAsia="zh-CN"/>
        </w:rPr>
        <w:t>标</w:t>
      </w:r>
      <w:r>
        <w:rPr>
          <w:rFonts w:hint="eastAsia" w:ascii="宋体" w:hAnsi="宋体" w:eastAsia="宋体" w:cs="宋体"/>
          <w:b/>
          <w:color w:val="auto"/>
          <w:sz w:val="28"/>
          <w:szCs w:val="28"/>
          <w:highlight w:val="none"/>
        </w:rPr>
        <w:t>处理</w:t>
      </w:r>
      <w:r>
        <w:rPr>
          <w:rFonts w:hint="eastAsia" w:ascii="宋体" w:hAnsi="宋体" w:eastAsia="宋体" w:cs="宋体"/>
          <w:b/>
          <w:color w:val="auto"/>
          <w:sz w:val="28"/>
          <w:szCs w:val="28"/>
          <w:highlight w:val="none"/>
          <w:lang w:eastAsia="zh-CN"/>
        </w:rPr>
        <w:t>：</w:t>
      </w:r>
    </w:p>
    <w:p w14:paraId="5CE1219D">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（1）未按谈判文件规定签署、盖章的；</w:t>
      </w:r>
    </w:p>
    <w:p w14:paraId="191E4308">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（2）供应商不具备谈判文件规定资格条件的；</w:t>
      </w:r>
    </w:p>
    <w:p w14:paraId="5551EB27">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rPr>
        <w:t>3</w:t>
      </w:r>
      <w:r>
        <w:rPr>
          <w:rFonts w:hint="eastAsia" w:ascii="宋体" w:hAnsi="宋体" w:eastAsia="宋体" w:cs="宋体"/>
          <w:color w:val="auto"/>
          <w:sz w:val="28"/>
          <w:szCs w:val="28"/>
          <w:highlight w:val="none"/>
        </w:rPr>
        <w:t>） 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竞争性谈判活动的，联合体成员存在不良信用记录的，视同联合体存在不良应用记录；</w:t>
      </w:r>
    </w:p>
    <w:p w14:paraId="1D8C34C2">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rPr>
        <w:t>4</w:t>
      </w:r>
      <w:r>
        <w:rPr>
          <w:rFonts w:hint="eastAsia" w:ascii="宋体" w:hAnsi="宋体" w:eastAsia="宋体" w:cs="宋体"/>
          <w:color w:val="auto"/>
          <w:sz w:val="28"/>
          <w:szCs w:val="28"/>
          <w:highlight w:val="none"/>
        </w:rPr>
        <w:t>）未实质性响应谈判文件要求的；</w:t>
      </w:r>
    </w:p>
    <w:p w14:paraId="26F49515">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rPr>
        <w:t>5</w:t>
      </w:r>
      <w:r>
        <w:rPr>
          <w:rFonts w:hint="eastAsia" w:ascii="宋体" w:hAnsi="宋体" w:eastAsia="宋体" w:cs="宋体"/>
          <w:color w:val="auto"/>
          <w:sz w:val="28"/>
          <w:szCs w:val="28"/>
          <w:highlight w:val="none"/>
        </w:rPr>
        <w:t>）属于谈判邀请中第</w:t>
      </w:r>
      <w:r>
        <w:rPr>
          <w:rFonts w:hint="eastAsia" w:ascii="宋体" w:hAnsi="宋体" w:eastAsia="宋体" w:cs="宋体"/>
          <w:color w:val="auto"/>
          <w:sz w:val="28"/>
          <w:szCs w:val="28"/>
          <w:highlight w:val="none"/>
          <w:lang w:val="en-US" w:eastAsia="zh-CN"/>
        </w:rPr>
        <w:t>二</w:t>
      </w:r>
      <w:r>
        <w:rPr>
          <w:rFonts w:hint="eastAsia" w:ascii="宋体" w:hAnsi="宋体" w:eastAsia="宋体" w:cs="宋体"/>
          <w:color w:val="auto"/>
          <w:sz w:val="28"/>
          <w:szCs w:val="28"/>
          <w:highlight w:val="none"/>
        </w:rPr>
        <w:t>条第</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款拒绝参加本次谈判活动供应商的；</w:t>
      </w:r>
    </w:p>
    <w:p w14:paraId="100BE945">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rPr>
        <w:t>6</w:t>
      </w:r>
      <w:r>
        <w:rPr>
          <w:rFonts w:hint="eastAsia" w:ascii="宋体" w:hAnsi="宋体" w:eastAsia="宋体" w:cs="宋体"/>
          <w:color w:val="auto"/>
          <w:sz w:val="28"/>
          <w:szCs w:val="28"/>
          <w:highlight w:val="none"/>
        </w:rPr>
        <w:t>）没有逐一说明提供产品名称、品牌、规格型号、技术参数和服务响应，而是直接拷贝谈判文件技术要求的；</w:t>
      </w:r>
    </w:p>
    <w:p w14:paraId="4672B8A3">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rPr>
        <w:t>7</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rPr>
        <w:t>未按照招标文件要求提供《南京市政府采购供应商信用记录表暨信用承诺书》的；</w:t>
      </w:r>
    </w:p>
    <w:p w14:paraId="4701B06A">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rPr>
        <w:t>8</w:t>
      </w:r>
      <w:r>
        <w:rPr>
          <w:rFonts w:hint="eastAsia" w:ascii="宋体" w:hAnsi="宋体" w:eastAsia="宋体" w:cs="宋体"/>
          <w:color w:val="auto"/>
          <w:sz w:val="28"/>
          <w:szCs w:val="28"/>
          <w:highlight w:val="none"/>
        </w:rPr>
        <w:t>）不符合法律、法规和谈判文件规定的其他实质性要求的。</w:t>
      </w:r>
    </w:p>
    <w:p w14:paraId="75557A82">
      <w:pPr>
        <w:keepNext w:val="0"/>
        <w:keepLines w:val="0"/>
        <w:pageBreakBefore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（9）报价超过最高限价的。</w:t>
      </w:r>
    </w:p>
    <w:p w14:paraId="7C23F3C2">
      <w:pPr>
        <w:keepNext w:val="0"/>
        <w:keepLines w:val="0"/>
        <w:pageBreakBefore w:val="0"/>
        <w:kinsoku/>
        <w:wordWrap/>
        <w:overflowPunct/>
        <w:topLinePunct w:val="0"/>
        <w:autoSpaceDE/>
        <w:autoSpaceDN/>
        <w:bidi w:val="0"/>
        <w:adjustRightInd/>
        <w:snapToGrid/>
        <w:spacing w:line="360" w:lineRule="auto"/>
        <w:ind w:firstLine="482"/>
        <w:textAlignment w:val="auto"/>
        <w:outlineLvl w:val="9"/>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12.8 </w:t>
      </w:r>
      <w:r>
        <w:rPr>
          <w:rFonts w:hint="eastAsia" w:ascii="宋体" w:hAnsi="宋体" w:eastAsia="宋体" w:cs="宋体"/>
          <w:b/>
          <w:bCs/>
          <w:color w:val="auto"/>
          <w:sz w:val="28"/>
          <w:szCs w:val="28"/>
          <w:highlight w:val="none"/>
        </w:rPr>
        <w:t>出现下列情形之一的谈判终止</w:t>
      </w:r>
    </w:p>
    <w:p w14:paraId="52975648">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（1）因情况变化，不再符合竞争性谈判采购方式适用情形的；</w:t>
      </w:r>
    </w:p>
    <w:p w14:paraId="0F0B3B29">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（2）所有供应商的响应文件被谈判小组认定为无效的；</w:t>
      </w:r>
    </w:p>
    <w:p w14:paraId="781F3BCD">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（3）出现影响采购公正的违法、违规行为的；</w:t>
      </w:r>
    </w:p>
    <w:p w14:paraId="6F3F59C5">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（4）</w:t>
      </w:r>
      <w:r>
        <w:rPr>
          <w:rFonts w:hint="eastAsia" w:ascii="宋体" w:hAnsi="宋体" w:eastAsia="宋体" w:cs="宋体"/>
          <w:bCs/>
          <w:color w:val="auto"/>
          <w:sz w:val="28"/>
          <w:szCs w:val="28"/>
          <w:highlight w:val="none"/>
          <w:lang w:val="en-US"/>
        </w:rPr>
        <w:t>所有</w:t>
      </w:r>
      <w:r>
        <w:rPr>
          <w:rFonts w:hint="eastAsia" w:ascii="宋体" w:hAnsi="宋体" w:eastAsia="宋体" w:cs="宋体"/>
          <w:bCs/>
          <w:color w:val="auto"/>
          <w:sz w:val="28"/>
          <w:szCs w:val="28"/>
          <w:highlight w:val="none"/>
        </w:rPr>
        <w:t>供应商的最终报价</w:t>
      </w:r>
      <w:r>
        <w:rPr>
          <w:rFonts w:hint="eastAsia" w:ascii="宋体" w:hAnsi="宋体" w:eastAsia="宋体" w:cs="宋体"/>
          <w:bCs/>
          <w:color w:val="auto"/>
          <w:sz w:val="28"/>
          <w:szCs w:val="28"/>
          <w:highlight w:val="none"/>
          <w:lang w:val="en-US"/>
        </w:rPr>
        <w:t>均</w:t>
      </w:r>
      <w:r>
        <w:rPr>
          <w:rFonts w:hint="eastAsia" w:ascii="宋体" w:hAnsi="宋体" w:eastAsia="宋体" w:cs="宋体"/>
          <w:bCs/>
          <w:color w:val="auto"/>
          <w:sz w:val="28"/>
          <w:szCs w:val="28"/>
          <w:highlight w:val="none"/>
        </w:rPr>
        <w:t>超过采购预算</w:t>
      </w:r>
      <w:r>
        <w:rPr>
          <w:rFonts w:hint="eastAsia" w:ascii="宋体" w:hAnsi="宋体" w:eastAsia="宋体" w:cs="宋体"/>
          <w:bCs/>
          <w:color w:val="auto"/>
          <w:sz w:val="28"/>
          <w:szCs w:val="28"/>
          <w:highlight w:val="none"/>
          <w:lang w:val="en-US"/>
        </w:rPr>
        <w:t>或最高限价</w:t>
      </w:r>
      <w:r>
        <w:rPr>
          <w:rFonts w:hint="eastAsia" w:ascii="宋体" w:hAnsi="宋体" w:eastAsia="宋体" w:cs="宋体"/>
          <w:bCs/>
          <w:color w:val="auto"/>
          <w:sz w:val="28"/>
          <w:szCs w:val="28"/>
          <w:highlight w:val="none"/>
        </w:rPr>
        <w:t>的；</w:t>
      </w:r>
    </w:p>
    <w:p w14:paraId="1EF02833">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（5）因重大变故，采购任务取消的；</w:t>
      </w:r>
    </w:p>
    <w:p w14:paraId="4E8F235A">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（6）采购人需求发生重大变化暂时不能确定，或供应商提供的服务不能满足需求的。</w:t>
      </w:r>
    </w:p>
    <w:p w14:paraId="402E93FF">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13.评定成交标准</w:t>
      </w:r>
    </w:p>
    <w:p w14:paraId="2A875BF0">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13.1 成交标准，质量和服务均能满足谈判文件实质性要求，且评审价</w:t>
      </w:r>
      <w:r>
        <w:rPr>
          <w:rFonts w:hint="eastAsia" w:ascii="宋体" w:hAnsi="宋体" w:eastAsia="宋体" w:cs="宋体"/>
          <w:color w:val="auto"/>
          <w:sz w:val="28"/>
          <w:szCs w:val="28"/>
          <w:highlight w:val="none"/>
          <w:lang w:val="en-US"/>
        </w:rPr>
        <w:t>格</w:t>
      </w:r>
      <w:r>
        <w:rPr>
          <w:rFonts w:hint="eastAsia" w:ascii="宋体" w:hAnsi="宋体" w:eastAsia="宋体" w:cs="宋体"/>
          <w:color w:val="auto"/>
          <w:sz w:val="28"/>
          <w:szCs w:val="28"/>
          <w:highlight w:val="none"/>
        </w:rPr>
        <w:t>最</w:t>
      </w:r>
      <w:r>
        <w:rPr>
          <w:rFonts w:hint="eastAsia" w:ascii="宋体" w:hAnsi="宋体" w:eastAsia="宋体" w:cs="宋体"/>
          <w:color w:val="auto"/>
          <w:sz w:val="28"/>
          <w:szCs w:val="28"/>
          <w:highlight w:val="none"/>
          <w:lang w:val="en-US"/>
        </w:rPr>
        <w:t>低</w:t>
      </w:r>
      <w:r>
        <w:rPr>
          <w:rFonts w:hint="eastAsia" w:ascii="宋体" w:hAnsi="宋体" w:eastAsia="宋体" w:cs="宋体"/>
          <w:color w:val="auto"/>
          <w:sz w:val="28"/>
          <w:szCs w:val="28"/>
          <w:highlight w:val="none"/>
        </w:rPr>
        <w:t>。</w:t>
      </w:r>
    </w:p>
    <w:p w14:paraId="5AFC76AA">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w:t>
      </w:r>
      <w:r>
        <w:rPr>
          <w:rFonts w:hint="eastAsia" w:ascii="宋体" w:hAnsi="宋体" w:eastAsia="宋体" w:cs="宋体"/>
          <w:color w:val="auto"/>
          <w:sz w:val="28"/>
          <w:szCs w:val="28"/>
          <w:highlight w:val="none"/>
          <w:lang w:val="en-US"/>
        </w:rPr>
        <w:t xml:space="preserve">2 </w:t>
      </w:r>
      <w:r>
        <w:rPr>
          <w:rFonts w:hint="eastAsia" w:ascii="宋体" w:hAnsi="宋体" w:eastAsia="宋体" w:cs="宋体"/>
          <w:color w:val="auto"/>
          <w:sz w:val="28"/>
          <w:szCs w:val="28"/>
          <w:highlight w:val="none"/>
        </w:rPr>
        <w:t>评定方法，详见第三章。</w:t>
      </w:r>
    </w:p>
    <w:p w14:paraId="05CC4178">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14.确定成交供应商</w:t>
      </w:r>
    </w:p>
    <w:p w14:paraId="199E50A8">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14.1 谈判小组对质量和服务</w:t>
      </w:r>
      <w:r>
        <w:rPr>
          <w:rFonts w:hint="eastAsia" w:ascii="宋体" w:hAnsi="宋体" w:eastAsia="宋体" w:cs="宋体"/>
          <w:color w:val="auto"/>
          <w:sz w:val="28"/>
          <w:szCs w:val="28"/>
          <w:highlight w:val="none"/>
          <w:lang w:val="en-US"/>
        </w:rPr>
        <w:t>均</w:t>
      </w:r>
      <w:r>
        <w:rPr>
          <w:rFonts w:hint="eastAsia" w:ascii="宋体" w:hAnsi="宋体" w:eastAsia="宋体" w:cs="宋体"/>
          <w:color w:val="auto"/>
          <w:sz w:val="28"/>
          <w:szCs w:val="28"/>
          <w:highlight w:val="none"/>
        </w:rPr>
        <w:t>能满足谈判文件实质性要求的供应商，按</w:t>
      </w:r>
      <w:r>
        <w:rPr>
          <w:rFonts w:hint="eastAsia" w:ascii="宋体" w:hAnsi="宋体" w:eastAsia="宋体" w:cs="宋体"/>
          <w:color w:val="auto"/>
          <w:sz w:val="28"/>
          <w:szCs w:val="28"/>
          <w:highlight w:val="none"/>
          <w:lang w:val="en-US"/>
        </w:rPr>
        <w:t>评审价格</w:t>
      </w:r>
      <w:r>
        <w:rPr>
          <w:rFonts w:hint="eastAsia" w:ascii="宋体" w:hAnsi="宋体" w:eastAsia="宋体" w:cs="宋体"/>
          <w:color w:val="auto"/>
          <w:sz w:val="28"/>
          <w:szCs w:val="28"/>
          <w:highlight w:val="none"/>
        </w:rPr>
        <w:t>由</w:t>
      </w:r>
      <w:r>
        <w:rPr>
          <w:rFonts w:hint="eastAsia" w:ascii="宋体" w:hAnsi="宋体" w:eastAsia="宋体" w:cs="宋体"/>
          <w:color w:val="auto"/>
          <w:sz w:val="28"/>
          <w:szCs w:val="28"/>
          <w:highlight w:val="none"/>
          <w:lang w:val="en-US"/>
        </w:rPr>
        <w:t>低</w:t>
      </w:r>
      <w:r>
        <w:rPr>
          <w:rFonts w:hint="eastAsia" w:ascii="宋体" w:hAnsi="宋体" w:eastAsia="宋体" w:cs="宋体"/>
          <w:color w:val="auto"/>
          <w:sz w:val="28"/>
          <w:szCs w:val="28"/>
          <w:highlight w:val="none"/>
        </w:rPr>
        <w:t>到</w:t>
      </w:r>
      <w:r>
        <w:rPr>
          <w:rFonts w:hint="eastAsia" w:ascii="宋体" w:hAnsi="宋体" w:eastAsia="宋体" w:cs="宋体"/>
          <w:color w:val="auto"/>
          <w:sz w:val="28"/>
          <w:szCs w:val="28"/>
          <w:highlight w:val="none"/>
          <w:lang w:val="en-US"/>
        </w:rPr>
        <w:t>高</w:t>
      </w:r>
      <w:r>
        <w:rPr>
          <w:rFonts w:hint="eastAsia" w:ascii="宋体" w:hAnsi="宋体" w:eastAsia="宋体" w:cs="宋体"/>
          <w:color w:val="auto"/>
          <w:sz w:val="28"/>
          <w:szCs w:val="28"/>
          <w:highlight w:val="none"/>
        </w:rPr>
        <w:t>顺序排列。评审价</w:t>
      </w:r>
      <w:r>
        <w:rPr>
          <w:rFonts w:hint="eastAsia" w:ascii="宋体" w:hAnsi="宋体" w:eastAsia="宋体" w:cs="宋体"/>
          <w:color w:val="auto"/>
          <w:sz w:val="28"/>
          <w:szCs w:val="28"/>
          <w:highlight w:val="none"/>
          <w:lang w:val="en-US"/>
        </w:rPr>
        <w:t>格</w:t>
      </w:r>
      <w:r>
        <w:rPr>
          <w:rFonts w:hint="eastAsia" w:ascii="宋体" w:hAnsi="宋体" w:eastAsia="宋体" w:cs="宋体"/>
          <w:color w:val="auto"/>
          <w:sz w:val="28"/>
          <w:szCs w:val="28"/>
          <w:highlight w:val="none"/>
        </w:rPr>
        <w:t>相同的，按技术指标和服务标准优劣顺序排列，并确定评审价格最</w:t>
      </w:r>
      <w:r>
        <w:rPr>
          <w:rFonts w:hint="eastAsia" w:ascii="宋体" w:hAnsi="宋体" w:eastAsia="宋体" w:cs="宋体"/>
          <w:color w:val="auto"/>
          <w:sz w:val="28"/>
          <w:szCs w:val="28"/>
          <w:highlight w:val="none"/>
          <w:lang w:val="en-US"/>
        </w:rPr>
        <w:t>低</w:t>
      </w:r>
      <w:r>
        <w:rPr>
          <w:rFonts w:hint="eastAsia" w:ascii="宋体" w:hAnsi="宋体" w:eastAsia="宋体" w:cs="宋体"/>
          <w:color w:val="auto"/>
          <w:sz w:val="28"/>
          <w:szCs w:val="28"/>
          <w:highlight w:val="none"/>
        </w:rPr>
        <w:t>、技术指标和服务标准最优的供应商为成交供应商。</w:t>
      </w:r>
    </w:p>
    <w:p w14:paraId="15AA01C2">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w:t>
      </w:r>
      <w:r>
        <w:rPr>
          <w:rFonts w:hint="eastAsia" w:ascii="宋体" w:hAnsi="宋体" w:eastAsia="宋体" w:cs="宋体"/>
          <w:color w:val="auto"/>
          <w:sz w:val="28"/>
          <w:szCs w:val="28"/>
          <w:highlight w:val="none"/>
          <w:lang w:val="en-US"/>
        </w:rPr>
        <w:t>2</w:t>
      </w:r>
      <w:r>
        <w:rPr>
          <w:rFonts w:hint="eastAsia" w:ascii="宋体" w:hAnsi="宋体" w:eastAsia="宋体" w:cs="宋体"/>
          <w:color w:val="auto"/>
          <w:sz w:val="28"/>
          <w:szCs w:val="28"/>
          <w:highlight w:val="none"/>
        </w:rPr>
        <w:t>《成交通知书》对采购人和成交供应商具有同等法律效力。</w:t>
      </w:r>
    </w:p>
    <w:p w14:paraId="46A2D74A">
      <w:pPr>
        <w:keepNext w:val="0"/>
        <w:keepLines w:val="0"/>
        <w:pageBreakBefore w:val="0"/>
        <w:tabs>
          <w:tab w:val="left" w:pos="126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w:t>
      </w:r>
      <w:r>
        <w:rPr>
          <w:rFonts w:hint="eastAsia" w:ascii="宋体" w:hAnsi="宋体" w:eastAsia="宋体" w:cs="宋体"/>
          <w:color w:val="auto"/>
          <w:sz w:val="28"/>
          <w:szCs w:val="28"/>
          <w:highlight w:val="none"/>
          <w:lang w:val="en-US"/>
        </w:rPr>
        <w:t>3</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rPr>
        <w:t>招标代理</w:t>
      </w:r>
      <w:r>
        <w:rPr>
          <w:rFonts w:hint="eastAsia" w:ascii="宋体" w:hAnsi="宋体" w:eastAsia="宋体" w:cs="宋体"/>
          <w:color w:val="auto"/>
          <w:sz w:val="28"/>
          <w:szCs w:val="28"/>
          <w:highlight w:val="none"/>
        </w:rPr>
        <w:t>对未成交的供应商不作未成交原因的解释。</w:t>
      </w:r>
    </w:p>
    <w:p w14:paraId="2D94CAD6">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14.</w:t>
      </w:r>
      <w:r>
        <w:rPr>
          <w:rFonts w:hint="eastAsia" w:ascii="宋体" w:hAnsi="宋体" w:eastAsia="宋体" w:cs="宋体"/>
          <w:color w:val="auto"/>
          <w:sz w:val="28"/>
          <w:szCs w:val="28"/>
          <w:highlight w:val="none"/>
          <w:lang w:val="en-US"/>
        </w:rPr>
        <w:t>4</w:t>
      </w:r>
      <w:r>
        <w:rPr>
          <w:rFonts w:hint="eastAsia" w:ascii="宋体" w:hAnsi="宋体" w:eastAsia="宋体" w:cs="宋体"/>
          <w:color w:val="auto"/>
          <w:sz w:val="28"/>
          <w:szCs w:val="28"/>
          <w:highlight w:val="none"/>
        </w:rPr>
        <w:t xml:space="preserve"> 所有响应文件不论成交与否，</w:t>
      </w:r>
      <w:r>
        <w:rPr>
          <w:rFonts w:hint="eastAsia" w:ascii="宋体" w:hAnsi="宋体" w:eastAsia="宋体" w:cs="宋体"/>
          <w:color w:val="auto"/>
          <w:sz w:val="28"/>
          <w:szCs w:val="28"/>
          <w:highlight w:val="none"/>
          <w:lang w:val="en-US"/>
        </w:rPr>
        <w:t>招标代理</w:t>
      </w:r>
      <w:r>
        <w:rPr>
          <w:rFonts w:hint="eastAsia" w:ascii="宋体" w:hAnsi="宋体" w:eastAsia="宋体" w:cs="宋体"/>
          <w:color w:val="auto"/>
          <w:sz w:val="28"/>
          <w:szCs w:val="28"/>
          <w:highlight w:val="none"/>
        </w:rPr>
        <w:t>均不退回。</w:t>
      </w:r>
    </w:p>
    <w:p w14:paraId="687D6B5F">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15</w:t>
      </w:r>
      <w:r>
        <w:rPr>
          <w:rFonts w:hint="eastAsia" w:ascii="宋体" w:hAnsi="宋体" w:eastAsia="宋体" w:cs="宋体"/>
          <w:b/>
          <w:bCs/>
          <w:color w:val="auto"/>
          <w:sz w:val="28"/>
          <w:szCs w:val="28"/>
          <w:highlight w:val="none"/>
        </w:rPr>
        <w:t>.</w:t>
      </w:r>
      <w:r>
        <w:rPr>
          <w:rFonts w:hint="eastAsia" w:ascii="宋体" w:hAnsi="宋体" w:eastAsia="宋体" w:cs="宋体"/>
          <w:b/>
          <w:color w:val="auto"/>
          <w:sz w:val="28"/>
          <w:szCs w:val="28"/>
          <w:highlight w:val="none"/>
        </w:rPr>
        <w:t>编写评审报告</w:t>
      </w:r>
    </w:p>
    <w:p w14:paraId="0677357C">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15.1 谈判小组根据谈判过程和结果编写评审报告。</w:t>
      </w:r>
    </w:p>
    <w:p w14:paraId="783CC5DC">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16.</w:t>
      </w:r>
      <w:r>
        <w:rPr>
          <w:rFonts w:hint="eastAsia" w:ascii="宋体" w:hAnsi="宋体" w:eastAsia="宋体" w:cs="宋体"/>
          <w:b/>
          <w:bCs/>
          <w:color w:val="auto"/>
          <w:sz w:val="28"/>
          <w:szCs w:val="28"/>
          <w:highlight w:val="none"/>
        </w:rPr>
        <w:t>签订合同</w:t>
      </w:r>
    </w:p>
    <w:p w14:paraId="15EB8BA3">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16.1 成交供应商应当自《成交通知书》发出之日起三十日内，与采购人签订政府采购合同，所签订的合同不得对谈判文件和响应文件作实质性修改。</w:t>
      </w:r>
    </w:p>
    <w:p w14:paraId="19D76E33">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16.2 采购人不得向成交供应商提出任何不合理的要求作为签订合同的条件，不得与成交供应商私下订立背离合同实质性内容的协议。</w:t>
      </w:r>
    </w:p>
    <w:p w14:paraId="374CA3FD">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16.3 除不可抗力等因素外，《成交通知书》发出后，采购人改变成交结果，或者成交供应商拒绝签订政府采购合同的，应当承担相应的法律责任。</w:t>
      </w:r>
    </w:p>
    <w:p w14:paraId="4BE8E987">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16.4 成交供应商除发生法律规定的不能预见、不能避免并不能克服的客观情况外不得放弃或拒绝签订合同的。放弃或拒绝签订合同的，财政部门视情将其列入不良行为名单，在一至三年内不得参加南京市政府采购活动。</w:t>
      </w:r>
    </w:p>
    <w:p w14:paraId="4F524C46">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16.5成交供应商拒绝签订政府采购合同的，或因不可抗力或者自身原因不能履行政府采购合同的，采购人可以视情与排位在成交供应商之后第一位的供应商签订政府采购合同，也可以重新开展采购活动。</w:t>
      </w:r>
    </w:p>
    <w:p w14:paraId="6363AF3C">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16.6 政府采购合同履行中，采购人需追加与合同标的相同的服务的，在不改变合同其他条款的前提下，可以与供应商协商签订补充合同，但所有补充合同的采购金额不得超过原合同采购金额的百分之十。</w:t>
      </w:r>
    </w:p>
    <w:p w14:paraId="25CFF79D">
      <w:pPr>
        <w:keepNext w:val="0"/>
        <w:keepLines w:val="0"/>
        <w:pageBreakBefore w:val="0"/>
        <w:kinsoku/>
        <w:wordWrap/>
        <w:overflowPunct/>
        <w:topLinePunct w:val="0"/>
        <w:autoSpaceDE/>
        <w:autoSpaceDN/>
        <w:bidi w:val="0"/>
        <w:adjustRightInd/>
        <w:snapToGrid/>
        <w:spacing w:line="360" w:lineRule="auto"/>
        <w:ind w:firstLine="482"/>
        <w:textAlignment w:val="auto"/>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六、询问、质疑、投诉和诚实信用</w:t>
      </w:r>
    </w:p>
    <w:p w14:paraId="1DA9E540">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17.询问</w:t>
      </w:r>
    </w:p>
    <w:p w14:paraId="16569BF4">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17.1 供应商对谈判活动有疑问的，可以向</w:t>
      </w:r>
      <w:r>
        <w:rPr>
          <w:rFonts w:hint="eastAsia" w:ascii="宋体" w:hAnsi="宋体" w:eastAsia="宋体" w:cs="宋体"/>
          <w:color w:val="auto"/>
          <w:sz w:val="28"/>
          <w:szCs w:val="28"/>
          <w:highlight w:val="none"/>
          <w:lang w:val="en-US"/>
        </w:rPr>
        <w:t>招标代理公司</w:t>
      </w:r>
      <w:r>
        <w:rPr>
          <w:rFonts w:hint="eastAsia" w:ascii="宋体" w:hAnsi="宋体" w:eastAsia="宋体" w:cs="宋体"/>
          <w:color w:val="auto"/>
          <w:sz w:val="28"/>
          <w:szCs w:val="28"/>
          <w:highlight w:val="none"/>
        </w:rPr>
        <w:t>提出询问，</w:t>
      </w:r>
      <w:r>
        <w:rPr>
          <w:rFonts w:hint="eastAsia" w:ascii="宋体" w:hAnsi="宋体" w:eastAsia="宋体" w:cs="宋体"/>
          <w:color w:val="auto"/>
          <w:sz w:val="28"/>
          <w:szCs w:val="28"/>
          <w:highlight w:val="none"/>
          <w:lang w:val="en-US"/>
        </w:rPr>
        <w:t>招标代理公司</w:t>
      </w:r>
      <w:r>
        <w:rPr>
          <w:rFonts w:hint="eastAsia" w:ascii="宋体" w:hAnsi="宋体" w:eastAsia="宋体" w:cs="宋体"/>
          <w:color w:val="auto"/>
          <w:sz w:val="28"/>
          <w:szCs w:val="28"/>
          <w:highlight w:val="none"/>
        </w:rPr>
        <w:t>将在两个工作日内作出答复，但答复的内容不涉及商业秘密</w:t>
      </w:r>
      <w:r>
        <w:rPr>
          <w:rFonts w:hint="eastAsia" w:ascii="宋体" w:hAnsi="宋体" w:eastAsia="宋体" w:cs="宋体"/>
          <w:b/>
          <w:color w:val="auto"/>
          <w:sz w:val="28"/>
          <w:szCs w:val="28"/>
          <w:highlight w:val="none"/>
        </w:rPr>
        <w:t>。</w:t>
      </w:r>
    </w:p>
    <w:p w14:paraId="6607369A">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18.质疑</w:t>
      </w:r>
    </w:p>
    <w:p w14:paraId="1A62D6AD">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18.1 供应商认为采购文件、采购过程和成交结果使自己的合法权益受到损害的，可以在知道或者应当知道其权益受到损害之日起七个工作日内，将质疑文件原件送达</w:t>
      </w:r>
      <w:r>
        <w:rPr>
          <w:rFonts w:hint="eastAsia" w:ascii="宋体" w:hAnsi="宋体" w:eastAsia="宋体" w:cs="宋体"/>
          <w:color w:val="auto"/>
          <w:sz w:val="28"/>
          <w:szCs w:val="28"/>
          <w:highlight w:val="none"/>
          <w:lang w:val="en-US" w:eastAsia="zh-CN"/>
        </w:rPr>
        <w:t>代理</w:t>
      </w:r>
      <w:r>
        <w:rPr>
          <w:rFonts w:hint="eastAsia" w:ascii="宋体" w:hAnsi="宋体" w:eastAsia="宋体" w:cs="宋体"/>
          <w:color w:val="auto"/>
          <w:sz w:val="28"/>
          <w:szCs w:val="28"/>
          <w:highlight w:val="none"/>
          <w:lang w:eastAsia="zh-CN"/>
        </w:rPr>
        <w:t>公司</w:t>
      </w:r>
      <w:r>
        <w:rPr>
          <w:rFonts w:hint="eastAsia" w:ascii="宋体" w:hAnsi="宋体" w:eastAsia="宋体" w:cs="宋体"/>
          <w:color w:val="auto"/>
          <w:sz w:val="28"/>
          <w:szCs w:val="28"/>
          <w:highlight w:val="none"/>
        </w:rPr>
        <w:t>。</w:t>
      </w:r>
    </w:p>
    <w:p w14:paraId="3B30441E">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18.2 质疑供应商的质疑行为应符合财政部94号令相关规定，未参加谈判活动的供应商或在谈判活动中自身权益未受到损害的供应商所提出的质疑不予受理。</w:t>
      </w:r>
    </w:p>
    <w:p w14:paraId="58321CE7">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18.3 上述应知其权益受到损害之日是指</w:t>
      </w:r>
    </w:p>
    <w:p w14:paraId="0772F884">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（1）对</w:t>
      </w:r>
      <w:r>
        <w:rPr>
          <w:rFonts w:hint="eastAsia" w:ascii="宋体" w:hAnsi="宋体" w:eastAsia="宋体" w:cs="宋体"/>
          <w:color w:val="auto"/>
          <w:sz w:val="28"/>
          <w:szCs w:val="28"/>
          <w:highlight w:val="none"/>
          <w:lang w:val="en-US"/>
        </w:rPr>
        <w:t>谈判</w:t>
      </w:r>
      <w:r>
        <w:rPr>
          <w:rFonts w:hint="eastAsia" w:ascii="宋体" w:hAnsi="宋体" w:eastAsia="宋体" w:cs="宋体"/>
          <w:color w:val="auto"/>
          <w:sz w:val="28"/>
          <w:szCs w:val="28"/>
          <w:highlight w:val="none"/>
        </w:rPr>
        <w:t>文件提出质疑的，为</w:t>
      </w:r>
      <w:r>
        <w:rPr>
          <w:rFonts w:hint="eastAsia" w:ascii="宋体" w:hAnsi="宋体" w:eastAsia="宋体" w:cs="宋体"/>
          <w:color w:val="auto"/>
          <w:sz w:val="28"/>
          <w:szCs w:val="28"/>
          <w:highlight w:val="none"/>
          <w:lang w:val="en-US"/>
        </w:rPr>
        <w:t>谈判</w:t>
      </w:r>
      <w:r>
        <w:rPr>
          <w:rFonts w:hint="eastAsia" w:ascii="宋体" w:hAnsi="宋体" w:eastAsia="宋体" w:cs="宋体"/>
          <w:color w:val="auto"/>
          <w:sz w:val="28"/>
          <w:szCs w:val="28"/>
          <w:highlight w:val="none"/>
        </w:rPr>
        <w:t>文件公告期限届满之日起计算；</w:t>
      </w:r>
    </w:p>
    <w:p w14:paraId="401939A9">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（2）对谈判过程提出质疑的，自谈判程序环节结束之日起计算；</w:t>
      </w:r>
    </w:p>
    <w:p w14:paraId="4CA5CCC1">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（3）对</w:t>
      </w:r>
      <w:r>
        <w:rPr>
          <w:rFonts w:hint="eastAsia" w:ascii="宋体" w:hAnsi="宋体" w:eastAsia="宋体" w:cs="宋体"/>
          <w:color w:val="auto"/>
          <w:sz w:val="28"/>
          <w:szCs w:val="28"/>
          <w:highlight w:val="none"/>
          <w:lang w:val="en-US"/>
        </w:rPr>
        <w:t>谈判</w:t>
      </w:r>
      <w:r>
        <w:rPr>
          <w:rFonts w:hint="eastAsia" w:ascii="宋体" w:hAnsi="宋体" w:eastAsia="宋体" w:cs="宋体"/>
          <w:color w:val="auto"/>
          <w:sz w:val="28"/>
          <w:szCs w:val="28"/>
          <w:highlight w:val="none"/>
        </w:rPr>
        <w:t>结果提出质疑的，自</w:t>
      </w:r>
      <w:r>
        <w:rPr>
          <w:rFonts w:hint="eastAsia" w:ascii="宋体" w:hAnsi="宋体" w:eastAsia="宋体" w:cs="宋体"/>
          <w:color w:val="auto"/>
          <w:sz w:val="28"/>
          <w:szCs w:val="28"/>
          <w:highlight w:val="none"/>
          <w:lang w:val="en-US"/>
        </w:rPr>
        <w:t>谈判</w:t>
      </w:r>
      <w:r>
        <w:rPr>
          <w:rFonts w:hint="eastAsia" w:ascii="宋体" w:hAnsi="宋体" w:eastAsia="宋体" w:cs="宋体"/>
          <w:color w:val="auto"/>
          <w:sz w:val="28"/>
          <w:szCs w:val="28"/>
          <w:highlight w:val="none"/>
        </w:rPr>
        <w:t xml:space="preserve">结果公告期限届满之日起计算。  </w:t>
      </w:r>
    </w:p>
    <w:p w14:paraId="5AAF6B6F">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18.4 质疑供应商在法定质疑期内应当一次性提出针对同一采购环节的质疑事项。</w:t>
      </w:r>
    </w:p>
    <w:p w14:paraId="5ED338E4">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18.5 </w:t>
      </w:r>
      <w:r>
        <w:rPr>
          <w:rFonts w:hint="eastAsia" w:ascii="宋体" w:hAnsi="宋体" w:eastAsia="宋体" w:cs="宋体"/>
          <w:color w:val="auto"/>
          <w:sz w:val="28"/>
          <w:szCs w:val="28"/>
          <w:highlight w:val="none"/>
          <w:lang w:val="en-US" w:eastAsia="zh-CN"/>
        </w:rPr>
        <w:t>采购人及</w:t>
      </w:r>
      <w:r>
        <w:rPr>
          <w:rFonts w:hint="eastAsia" w:ascii="宋体" w:hAnsi="宋体" w:eastAsia="宋体" w:cs="宋体"/>
          <w:color w:val="auto"/>
          <w:sz w:val="28"/>
          <w:szCs w:val="28"/>
          <w:highlight w:val="none"/>
          <w:lang w:val="en-US"/>
        </w:rPr>
        <w:t>招标代理</w:t>
      </w:r>
      <w:r>
        <w:rPr>
          <w:rFonts w:hint="eastAsia" w:ascii="宋体" w:hAnsi="宋体" w:eastAsia="宋体" w:cs="宋体"/>
          <w:color w:val="auto"/>
          <w:sz w:val="28"/>
          <w:szCs w:val="28"/>
          <w:highlight w:val="none"/>
        </w:rPr>
        <w:t>在收到供应商的质疑后将及时组织调查核实，在七个工作日内作出答复，答复的内容不涉及商业秘密。</w:t>
      </w:r>
    </w:p>
    <w:p w14:paraId="4991CC61">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18.6 </w:t>
      </w:r>
      <w:r>
        <w:rPr>
          <w:rFonts w:hint="eastAsia" w:ascii="宋体" w:hAnsi="宋体" w:eastAsia="宋体" w:cs="宋体"/>
          <w:color w:val="auto"/>
          <w:sz w:val="28"/>
          <w:szCs w:val="28"/>
          <w:highlight w:val="none"/>
          <w:lang w:val="en-US" w:eastAsia="zh-CN"/>
        </w:rPr>
        <w:t>采购人</w:t>
      </w:r>
      <w:r>
        <w:rPr>
          <w:rFonts w:hint="eastAsia" w:ascii="宋体" w:hAnsi="宋体" w:eastAsia="宋体" w:cs="宋体"/>
          <w:color w:val="auto"/>
          <w:sz w:val="28"/>
          <w:szCs w:val="28"/>
          <w:highlight w:val="none"/>
        </w:rPr>
        <w:t>遵循“谁过错谁负担”的原则，有过错的一方承担调查论证费用。质疑查无实据或质疑不成立的，将报财政部门记入供应商诚信档案。</w:t>
      </w:r>
    </w:p>
    <w:p w14:paraId="7B61B239">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19.投诉</w:t>
      </w:r>
    </w:p>
    <w:p w14:paraId="432A9543">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19.1 质疑供应商对</w:t>
      </w:r>
      <w:r>
        <w:rPr>
          <w:rFonts w:hint="eastAsia" w:ascii="宋体" w:hAnsi="宋体" w:eastAsia="宋体" w:cs="宋体"/>
          <w:color w:val="auto"/>
          <w:sz w:val="28"/>
          <w:szCs w:val="28"/>
          <w:highlight w:val="none"/>
          <w:lang w:val="en-US" w:eastAsia="zh-CN"/>
        </w:rPr>
        <w:t>采购人</w:t>
      </w:r>
      <w:r>
        <w:rPr>
          <w:rFonts w:hint="eastAsia" w:ascii="宋体" w:hAnsi="宋体" w:eastAsia="宋体" w:cs="宋体"/>
          <w:color w:val="auto"/>
          <w:sz w:val="28"/>
          <w:szCs w:val="28"/>
          <w:highlight w:val="none"/>
        </w:rPr>
        <w:t>的答复不满意，或</w:t>
      </w:r>
      <w:r>
        <w:rPr>
          <w:rFonts w:hint="eastAsia" w:ascii="宋体" w:hAnsi="宋体" w:eastAsia="宋体" w:cs="宋体"/>
          <w:color w:val="auto"/>
          <w:sz w:val="28"/>
          <w:szCs w:val="28"/>
          <w:highlight w:val="none"/>
          <w:lang w:val="en-US" w:eastAsia="zh-CN"/>
        </w:rPr>
        <w:t>采购人</w:t>
      </w:r>
      <w:r>
        <w:rPr>
          <w:rFonts w:hint="eastAsia" w:ascii="宋体" w:hAnsi="宋体" w:eastAsia="宋体" w:cs="宋体"/>
          <w:color w:val="auto"/>
          <w:sz w:val="28"/>
          <w:szCs w:val="28"/>
          <w:highlight w:val="none"/>
        </w:rPr>
        <w:t>未在规定的时间内作出答复的，可以在答复期满后十五个工作日内向同级财政部门投诉。</w:t>
      </w:r>
    </w:p>
    <w:p w14:paraId="5F40EC68">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20.诚实信用</w:t>
      </w:r>
    </w:p>
    <w:p w14:paraId="258C1F6E">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20.1 供应商之间不得相互串通</w:t>
      </w:r>
      <w:r>
        <w:rPr>
          <w:rFonts w:hint="eastAsia" w:ascii="宋体" w:hAnsi="宋体" w:eastAsia="宋体" w:cs="宋体"/>
          <w:color w:val="auto"/>
          <w:sz w:val="28"/>
          <w:szCs w:val="28"/>
          <w:highlight w:val="none"/>
          <w:lang w:val="en-US"/>
        </w:rPr>
        <w:t>谈判</w:t>
      </w:r>
      <w:r>
        <w:rPr>
          <w:rFonts w:hint="eastAsia" w:ascii="宋体" w:hAnsi="宋体" w:eastAsia="宋体" w:cs="宋体"/>
          <w:color w:val="auto"/>
          <w:sz w:val="28"/>
          <w:szCs w:val="28"/>
          <w:highlight w:val="none"/>
        </w:rPr>
        <w:t>报价，不得妨碍其他供应商的公平竞争，不得损害采购人和其他供应商的合法权益。</w:t>
      </w:r>
    </w:p>
    <w:p w14:paraId="6A232644">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20.2 供应商不得以向</w:t>
      </w:r>
      <w:r>
        <w:rPr>
          <w:rFonts w:hint="eastAsia" w:ascii="宋体" w:hAnsi="宋体" w:eastAsia="宋体" w:cs="宋体"/>
          <w:color w:val="auto"/>
          <w:sz w:val="28"/>
          <w:szCs w:val="28"/>
          <w:highlight w:val="none"/>
          <w:lang w:val="en-US"/>
        </w:rPr>
        <w:t>招标代理机构</w:t>
      </w:r>
      <w:r>
        <w:rPr>
          <w:rFonts w:hint="eastAsia" w:ascii="宋体" w:hAnsi="宋体" w:eastAsia="宋体" w:cs="宋体"/>
          <w:color w:val="auto"/>
          <w:sz w:val="28"/>
          <w:szCs w:val="28"/>
          <w:highlight w:val="none"/>
        </w:rPr>
        <w:t>工作人员、谈判小组成员行贿或者采取其他不正当手段谋取成交。经查实供应商有此行为的，政府采购管理部门将供应商列入不良行为记录名单，按照《政府采购法》有关规定处理。</w:t>
      </w:r>
    </w:p>
    <w:p w14:paraId="1024DA09">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20.3 供应商提出书面质疑必须有理、有据，不得虚假质疑和恶意质疑，并对质疑内容的真实性承担责任。否则，一经查实，</w:t>
      </w:r>
      <w:r>
        <w:rPr>
          <w:rFonts w:hint="eastAsia" w:ascii="宋体" w:hAnsi="宋体" w:eastAsia="宋体" w:cs="宋体"/>
          <w:color w:val="auto"/>
          <w:sz w:val="28"/>
          <w:szCs w:val="28"/>
          <w:highlight w:val="none"/>
          <w:lang w:val="en-US"/>
        </w:rPr>
        <w:t>招标代理公司</w:t>
      </w:r>
      <w:r>
        <w:rPr>
          <w:rFonts w:hint="eastAsia" w:ascii="宋体" w:hAnsi="宋体" w:eastAsia="宋体" w:cs="宋体"/>
          <w:color w:val="auto"/>
          <w:sz w:val="28"/>
          <w:szCs w:val="28"/>
          <w:highlight w:val="none"/>
        </w:rPr>
        <w:t>有权依据政府采购的有关规定，报请政府采购监管部门对该供应商进行相应的行政处罚并予以公示。如果供应商或者其他利害关系人通过捏造事实、伪造证明材料等方式提出质疑，干扰谈判活动正常进行的，属于严重不良行为，</w:t>
      </w:r>
      <w:r>
        <w:rPr>
          <w:rFonts w:hint="eastAsia" w:ascii="宋体" w:hAnsi="宋体" w:eastAsia="宋体" w:cs="宋体"/>
          <w:color w:val="auto"/>
          <w:sz w:val="28"/>
          <w:szCs w:val="28"/>
          <w:highlight w:val="none"/>
          <w:lang w:val="en-US"/>
        </w:rPr>
        <w:t>招标代理公司</w:t>
      </w:r>
      <w:r>
        <w:rPr>
          <w:rFonts w:hint="eastAsia" w:ascii="宋体" w:hAnsi="宋体" w:eastAsia="宋体" w:cs="宋体"/>
          <w:color w:val="auto"/>
          <w:sz w:val="28"/>
          <w:szCs w:val="28"/>
          <w:highlight w:val="none"/>
        </w:rPr>
        <w:t>将提请财政部门将其列入不良行为记录名单，并依法予以处罚。</w:t>
      </w:r>
    </w:p>
    <w:p w14:paraId="7DB31E1E">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rPr>
        <w:t>0</w:t>
      </w:r>
      <w:r>
        <w:rPr>
          <w:rFonts w:hint="eastAsia" w:ascii="宋体" w:hAnsi="宋体" w:eastAsia="宋体" w:cs="宋体"/>
          <w:color w:val="auto"/>
          <w:sz w:val="28"/>
          <w:szCs w:val="28"/>
          <w:highlight w:val="none"/>
        </w:rPr>
        <w:t>.4 供应商不得虚假承诺，否则，按照提供虚假材料谋取成交处理。</w:t>
      </w:r>
    </w:p>
    <w:p w14:paraId="715B63A3">
      <w:pPr>
        <w:keepNext w:val="0"/>
        <w:keepLines w:val="0"/>
        <w:pageBreakBefore w:val="0"/>
        <w:widowControl/>
        <w:shd w:val="clear" w:color="auto" w:fill="FFFFFF"/>
        <w:kinsoku/>
        <w:wordWrap/>
        <w:overflowPunct/>
        <w:topLinePunct w:val="0"/>
        <w:autoSpaceDE/>
        <w:autoSpaceDN/>
        <w:bidi w:val="0"/>
        <w:adjustRightInd/>
        <w:snapToGrid/>
        <w:spacing w:before="75" w:after="75" w:line="360" w:lineRule="auto"/>
        <w:ind w:right="567"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rPr>
        <w:t>0</w:t>
      </w:r>
      <w:r>
        <w:rPr>
          <w:rFonts w:hint="eastAsia" w:ascii="宋体" w:hAnsi="宋体" w:eastAsia="宋体" w:cs="宋体"/>
          <w:color w:val="auto"/>
          <w:sz w:val="28"/>
          <w:szCs w:val="28"/>
          <w:highlight w:val="none"/>
        </w:rPr>
        <w:t>.5 供应商应自觉遵守谈判纪律，扰乱谈判现场秩序的，属于失信行为，根据《江苏省政府采购供应商监督管理暂行办法》，失信行为将被记入供应商诚信档案。</w:t>
      </w:r>
    </w:p>
    <w:p w14:paraId="40E68EFF">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color w:val="auto"/>
          <w:spacing w:val="-10"/>
          <w:sz w:val="44"/>
          <w:szCs w:val="44"/>
          <w:highlight w:val="none"/>
        </w:rPr>
      </w:pPr>
      <w:r>
        <w:rPr>
          <w:rFonts w:hint="eastAsia" w:ascii="宋体" w:hAnsi="宋体" w:eastAsia="宋体" w:cs="宋体"/>
          <w:color w:val="auto"/>
          <w:sz w:val="28"/>
          <w:szCs w:val="28"/>
          <w:highlight w:val="none"/>
        </w:rPr>
        <w:br w:type="page" w:clear="all"/>
      </w:r>
      <w:bookmarkEnd w:id="2"/>
      <w:bookmarkEnd w:id="3"/>
      <w:bookmarkEnd w:id="4"/>
      <w:bookmarkEnd w:id="5"/>
      <w:bookmarkEnd w:id="6"/>
      <w:bookmarkEnd w:id="7"/>
      <w:r>
        <w:rPr>
          <w:rFonts w:hint="eastAsia" w:ascii="宋体" w:hAnsi="宋体" w:eastAsia="宋体" w:cs="宋体"/>
          <w:color w:val="auto"/>
          <w:spacing w:val="-10"/>
          <w:sz w:val="44"/>
          <w:szCs w:val="44"/>
          <w:highlight w:val="none"/>
          <w:lang w:val="zh-CN" w:eastAsia="zh-CN" w:bidi="ar-SA"/>
        </w:rPr>
        <w:t>第三章</w:t>
      </w:r>
      <w:r>
        <w:rPr>
          <w:rFonts w:hint="eastAsia" w:ascii="宋体" w:hAnsi="宋体" w:eastAsia="宋体" w:cs="宋体"/>
          <w:color w:val="auto"/>
          <w:spacing w:val="-10"/>
          <w:sz w:val="44"/>
          <w:szCs w:val="44"/>
          <w:highlight w:val="none"/>
          <w:lang w:val="en-US" w:eastAsia="zh-CN" w:bidi="ar-SA"/>
        </w:rPr>
        <w:t xml:space="preserve"> </w:t>
      </w:r>
      <w:r>
        <w:rPr>
          <w:rFonts w:hint="eastAsia" w:ascii="宋体" w:hAnsi="宋体" w:eastAsia="宋体" w:cs="宋体"/>
          <w:color w:val="auto"/>
          <w:spacing w:val="-10"/>
          <w:sz w:val="44"/>
          <w:szCs w:val="44"/>
          <w:highlight w:val="none"/>
        </w:rPr>
        <w:t>成交标准</w:t>
      </w:r>
    </w:p>
    <w:p w14:paraId="1016F2D7">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一、成交标准：质量和服务均能满足谈判文件实质性要求，且评审价最</w:t>
      </w:r>
      <w:r>
        <w:rPr>
          <w:rFonts w:hint="eastAsia" w:ascii="宋体" w:hAnsi="宋体" w:eastAsia="宋体" w:cs="宋体"/>
          <w:color w:val="auto"/>
          <w:sz w:val="28"/>
          <w:szCs w:val="28"/>
          <w:highlight w:val="none"/>
          <w:lang w:val="en-US"/>
        </w:rPr>
        <w:t>低</w:t>
      </w:r>
      <w:r>
        <w:rPr>
          <w:rFonts w:hint="eastAsia" w:ascii="宋体" w:hAnsi="宋体" w:eastAsia="宋体" w:cs="宋体"/>
          <w:b/>
          <w:color w:val="auto"/>
          <w:sz w:val="28"/>
          <w:szCs w:val="28"/>
          <w:highlight w:val="none"/>
        </w:rPr>
        <w:t>。</w:t>
      </w:r>
    </w:p>
    <w:p w14:paraId="1E8BCEA2">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二、</w:t>
      </w:r>
      <w:r>
        <w:rPr>
          <w:rFonts w:hint="eastAsia" w:ascii="宋体" w:hAnsi="宋体" w:eastAsia="宋体" w:cs="宋体"/>
          <w:color w:val="auto"/>
          <w:sz w:val="28"/>
          <w:szCs w:val="28"/>
          <w:highlight w:val="none"/>
        </w:rPr>
        <w:t>评定标准：评审时，对小型和微型企业、监狱和戒毒企业、残疾人福利性单位的报价给予相应扣除后的价格参与评审。</w:t>
      </w:r>
    </w:p>
    <w:p w14:paraId="589EB889">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1.对小微企业生产的产品给予</w:t>
      </w:r>
      <w:r>
        <w:rPr>
          <w:rFonts w:hint="eastAsia" w:ascii="宋体" w:hAnsi="宋体" w:eastAsia="宋体" w:cs="宋体"/>
          <w:color w:val="auto"/>
          <w:sz w:val="28"/>
          <w:szCs w:val="28"/>
          <w:highlight w:val="none"/>
          <w:lang w:val="en-US"/>
        </w:rPr>
        <w:t>报</w:t>
      </w:r>
      <w:r>
        <w:rPr>
          <w:rFonts w:hint="eastAsia" w:ascii="宋体" w:hAnsi="宋体" w:eastAsia="宋体" w:cs="宋体"/>
          <w:color w:val="auto"/>
          <w:sz w:val="28"/>
          <w:szCs w:val="28"/>
          <w:highlight w:val="none"/>
        </w:rPr>
        <w:t>价的</w:t>
      </w:r>
      <w:r>
        <w:rPr>
          <w:rFonts w:hint="eastAsia" w:ascii="宋体" w:hAnsi="宋体" w:eastAsia="宋体" w:cs="宋体"/>
          <w:color w:val="auto"/>
          <w:sz w:val="28"/>
          <w:szCs w:val="28"/>
          <w:highlight w:val="none"/>
          <w:lang w:val="en-US"/>
        </w:rPr>
        <w:t>10</w:t>
      </w:r>
      <w:r>
        <w:rPr>
          <w:rFonts w:hint="eastAsia" w:ascii="宋体" w:hAnsi="宋体" w:eastAsia="宋体" w:cs="宋体"/>
          <w:color w:val="auto"/>
          <w:sz w:val="28"/>
          <w:szCs w:val="28"/>
          <w:highlight w:val="none"/>
        </w:rPr>
        <w:t>%价格扣除，用扣除后的价格参与评审。</w:t>
      </w:r>
    </w:p>
    <w:p w14:paraId="70FE3808">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2.大中型企业和其他自然人、法人或者其他组织与小型、微型企业组成联合体共同参加</w:t>
      </w:r>
      <w:r>
        <w:rPr>
          <w:rFonts w:hint="eastAsia" w:ascii="宋体" w:hAnsi="宋体" w:eastAsia="宋体" w:cs="宋体"/>
          <w:color w:val="auto"/>
          <w:sz w:val="28"/>
          <w:szCs w:val="28"/>
          <w:highlight w:val="none"/>
          <w:lang w:val="en-US"/>
        </w:rPr>
        <w:t>采购的</w:t>
      </w:r>
      <w:r>
        <w:rPr>
          <w:rFonts w:hint="eastAsia" w:ascii="宋体" w:hAnsi="宋体" w:eastAsia="宋体" w:cs="宋体"/>
          <w:color w:val="auto"/>
          <w:sz w:val="28"/>
          <w:szCs w:val="28"/>
          <w:highlight w:val="none"/>
        </w:rPr>
        <w:t>，如果联合协议中约定，小型、微型企业的协议合同金额占到联合体协议合同总金额30%以上的，给予联合体2%的价格扣除。联合体各方均为小型、微型企业的，联合体视同为小型、微型企业享受</w:t>
      </w:r>
      <w:r>
        <w:rPr>
          <w:rFonts w:hint="eastAsia" w:ascii="宋体" w:hAnsi="宋体" w:eastAsia="宋体" w:cs="宋体"/>
          <w:color w:val="auto"/>
          <w:sz w:val="28"/>
          <w:szCs w:val="28"/>
          <w:highlight w:val="none"/>
          <w:lang w:val="en-US"/>
        </w:rPr>
        <w:t>10</w:t>
      </w:r>
      <w:r>
        <w:rPr>
          <w:rFonts w:hint="eastAsia" w:ascii="宋体" w:hAnsi="宋体" w:eastAsia="宋体" w:cs="宋体"/>
          <w:color w:val="auto"/>
          <w:sz w:val="28"/>
          <w:szCs w:val="28"/>
          <w:highlight w:val="none"/>
        </w:rPr>
        <w:t>%价格扣除，用扣除后的价格参与评审。</w:t>
      </w:r>
    </w:p>
    <w:p w14:paraId="163B1167">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3.小企业（含小型、微型企业）应当同时符合以下条件</w:t>
      </w:r>
    </w:p>
    <w:p w14:paraId="661004D2">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（1）供应商为小企业，且符合《中小企业划</w:t>
      </w:r>
      <w:r>
        <w:rPr>
          <w:rFonts w:hint="eastAsia" w:ascii="宋体" w:hAnsi="宋体" w:eastAsia="宋体" w:cs="宋体"/>
          <w:color w:val="auto"/>
          <w:sz w:val="28"/>
          <w:szCs w:val="28"/>
          <w:highlight w:val="none"/>
          <w:lang w:val="en-US"/>
        </w:rPr>
        <w:t>型</w:t>
      </w:r>
      <w:r>
        <w:rPr>
          <w:rFonts w:hint="eastAsia" w:ascii="宋体" w:hAnsi="宋体" w:eastAsia="宋体" w:cs="宋体"/>
          <w:color w:val="auto"/>
          <w:sz w:val="28"/>
          <w:szCs w:val="28"/>
          <w:highlight w:val="none"/>
        </w:rPr>
        <w:t>标准》；</w:t>
      </w:r>
    </w:p>
    <w:p w14:paraId="3EBFBF32">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rPr>
        <w:t>提供本企业服务，或者提供其他小企业服务。如果提供的服务为大中型企业注册商标的服务，视同大中型企业。</w:t>
      </w:r>
    </w:p>
    <w:p w14:paraId="7C01E992">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4.监狱和戒毒企业的价格扣除</w:t>
      </w:r>
    </w:p>
    <w:p w14:paraId="0FF23F3A">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（1）本项目对监狱和戒毒企业（简称监狱企业）视同小型、微型企业，给予</w:t>
      </w:r>
      <w:r>
        <w:rPr>
          <w:rFonts w:hint="eastAsia" w:ascii="宋体" w:hAnsi="宋体" w:eastAsia="宋体" w:cs="宋体"/>
          <w:color w:val="auto"/>
          <w:sz w:val="28"/>
          <w:szCs w:val="28"/>
          <w:highlight w:val="none"/>
          <w:lang w:val="en-US"/>
        </w:rPr>
        <w:t>10</w:t>
      </w:r>
      <w:r>
        <w:rPr>
          <w:rFonts w:hint="eastAsia" w:ascii="宋体" w:hAnsi="宋体" w:eastAsia="宋体" w:cs="宋体"/>
          <w:color w:val="auto"/>
          <w:sz w:val="28"/>
          <w:szCs w:val="28"/>
          <w:highlight w:val="none"/>
        </w:rPr>
        <w:t>%的价格扣除，用扣除后的价格参与评审。</w:t>
      </w:r>
    </w:p>
    <w:p w14:paraId="4AF90FE2">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（2）监狱企业需提供由省级以上监狱管理局、戒毒管理局（含新疆生产建设兵团）出具的属于监狱企业的证明文件。</w:t>
      </w:r>
    </w:p>
    <w:p w14:paraId="38A87CF8">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（3）监狱企业标准请参照《关于政府采购支持监狱企业发展有关问题的通知》（财库〔2014〕68号）。</w:t>
      </w:r>
    </w:p>
    <w:p w14:paraId="6FF18906">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5.残疾人福利性单位的价格扣除</w:t>
      </w:r>
    </w:p>
    <w:p w14:paraId="072749D4">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（1）本项目对残疾人福利性单位视同小型、微型企业，给予</w:t>
      </w:r>
      <w:r>
        <w:rPr>
          <w:rFonts w:hint="eastAsia" w:ascii="宋体" w:hAnsi="宋体" w:eastAsia="宋体" w:cs="宋体"/>
          <w:color w:val="auto"/>
          <w:sz w:val="28"/>
          <w:szCs w:val="28"/>
          <w:highlight w:val="none"/>
          <w:lang w:val="en-US"/>
        </w:rPr>
        <w:t>10</w:t>
      </w:r>
      <w:r>
        <w:rPr>
          <w:rFonts w:hint="eastAsia" w:ascii="宋体" w:hAnsi="宋体" w:eastAsia="宋体" w:cs="宋体"/>
          <w:color w:val="auto"/>
          <w:sz w:val="28"/>
          <w:szCs w:val="28"/>
          <w:highlight w:val="none"/>
        </w:rPr>
        <w:t>%的价格扣除，用扣除后的价格参与评审。</w:t>
      </w:r>
    </w:p>
    <w:p w14:paraId="3D2C82C8">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（2）残疾人福利单位需按照采购文件的要求提供《残疾人福利性单位声明函》。</w:t>
      </w:r>
    </w:p>
    <w:p w14:paraId="52C40AF1">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（3）残疾人福利单位标准请参照《关于促进残疾人就业政府采购政策的通知》（财库〔2017〕141号）。</w:t>
      </w:r>
    </w:p>
    <w:p w14:paraId="1AEE8785">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6.监狱企业、残疾人福利单位属于小型、微型企业的，不重复享受政策。</w:t>
      </w:r>
    </w:p>
    <w:p w14:paraId="592D76CE">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rPr>
        <w:t>7</w:t>
      </w:r>
      <w:r>
        <w:rPr>
          <w:rFonts w:hint="eastAsia" w:ascii="宋体" w:hAnsi="宋体" w:eastAsia="宋体" w:cs="宋体"/>
          <w:color w:val="auto"/>
          <w:sz w:val="28"/>
          <w:szCs w:val="28"/>
          <w:highlight w:val="none"/>
        </w:rPr>
        <w:t>.除评定标准中另有说明外，所有认证、证明和业绩均以有效的证明文件的复印件为依据。</w:t>
      </w:r>
    </w:p>
    <w:p w14:paraId="71B21453">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8.多家供应商提供的核心产品品牌相同的，按同品牌供应商与其他品牌的供应商进行比较与评价。</w:t>
      </w:r>
    </w:p>
    <w:p w14:paraId="5AA79228">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9.谈判文件中要求的产品品牌或型号，是采购人根据项目所要实现的功能及考量后推荐的品牌或型号，供应商可以采用其他品牌的产品进行谈判，但是，所有功能必须能满足采购项目整体性能的实现。</w:t>
      </w:r>
    </w:p>
    <w:p w14:paraId="3B958DB3">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10.如供应商提供的产品属于政府强制采购节能产品的，应当选择依据国家标准中二级能效（水效）指标认证的节能产品谈判，并提供有效的节能产品认证证书</w:t>
      </w:r>
      <w:r>
        <w:rPr>
          <w:rFonts w:hint="eastAsia" w:ascii="宋体" w:hAnsi="宋体" w:eastAsia="宋体" w:cs="宋体"/>
          <w:color w:val="auto"/>
          <w:sz w:val="28"/>
          <w:szCs w:val="28"/>
          <w:highlight w:val="none"/>
          <w:lang w:val="en-US"/>
        </w:rPr>
        <w:t>复印件</w:t>
      </w:r>
      <w:r>
        <w:rPr>
          <w:rFonts w:hint="eastAsia" w:ascii="宋体" w:hAnsi="宋体" w:eastAsia="宋体" w:cs="宋体"/>
          <w:color w:val="auto"/>
          <w:sz w:val="28"/>
          <w:szCs w:val="28"/>
          <w:highlight w:val="none"/>
        </w:rPr>
        <w:t>。</w:t>
      </w:r>
    </w:p>
    <w:p w14:paraId="1371FA97">
      <w:pPr>
        <w:pStyle w:val="41"/>
        <w:pageBreakBefore w:val="0"/>
        <w:kinsoku/>
        <w:wordWrap/>
        <w:overflowPunct/>
        <w:topLinePunct w:val="0"/>
        <w:autoSpaceDN/>
        <w:bidi w:val="0"/>
        <w:adjustRightInd/>
        <w:snapToGrid/>
        <w:spacing w:line="360" w:lineRule="auto"/>
        <w:ind w:left="0" w:leftChars="0" w:firstLine="0" w:firstLineChars="0"/>
        <w:rPr>
          <w:rFonts w:hint="eastAsia" w:ascii="宋体" w:hAnsi="宋体" w:eastAsia="宋体" w:cs="宋体"/>
          <w:color w:val="auto"/>
          <w:highlight w:val="none"/>
          <w:lang w:val="en-US" w:eastAsia="zh-CN"/>
        </w:rPr>
      </w:pPr>
      <w:r>
        <w:rPr>
          <w:rFonts w:hint="eastAsia" w:ascii="宋体" w:hAnsi="宋体" w:eastAsia="宋体" w:cs="宋体"/>
          <w:color w:val="auto"/>
          <w:sz w:val="28"/>
          <w:szCs w:val="28"/>
          <w:highlight w:val="none"/>
          <w:lang w:val="en-US" w:eastAsia="zh-CN"/>
        </w:rPr>
        <w:t>11、所有供应商的第二次报价（最终报价）不得高于第一次报价，否则按废标处理。</w:t>
      </w:r>
    </w:p>
    <w:p w14:paraId="2C1E2DB3">
      <w:pPr>
        <w:pStyle w:val="275"/>
        <w:keepNext w:val="0"/>
        <w:keepLines w:val="0"/>
        <w:pageBreakBefore w:val="0"/>
        <w:kinsoku/>
        <w:wordWrap/>
        <w:overflowPunct/>
        <w:topLinePunct w:val="0"/>
        <w:autoSpaceDE/>
        <w:autoSpaceDN/>
        <w:bidi w:val="0"/>
        <w:adjustRightInd/>
        <w:snapToGrid/>
        <w:spacing w:line="360" w:lineRule="auto"/>
        <w:ind w:firstLine="0"/>
        <w:textAlignment w:val="auto"/>
        <w:rPr>
          <w:rFonts w:hint="eastAsia" w:ascii="宋体" w:hAnsi="宋体" w:eastAsia="宋体" w:cs="宋体"/>
          <w:bCs/>
          <w:color w:val="auto"/>
          <w:sz w:val="28"/>
          <w:szCs w:val="28"/>
          <w:highlight w:val="none"/>
          <w:lang w:val="zh-CN"/>
        </w:rPr>
      </w:pPr>
    </w:p>
    <w:p w14:paraId="6D4FD536">
      <w:pPr>
        <w:pStyle w:val="230"/>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8"/>
          <w:szCs w:val="28"/>
          <w:highlight w:val="none"/>
          <w:lang w:val="zh-CN" w:bidi="zh-CN"/>
        </w:rPr>
      </w:pPr>
    </w:p>
    <w:p w14:paraId="07DD5443">
      <w:pPr>
        <w:pStyle w:val="230"/>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8"/>
          <w:szCs w:val="28"/>
          <w:highlight w:val="none"/>
          <w:lang w:val="zh-CN" w:bidi="zh-CN"/>
        </w:rPr>
      </w:pPr>
    </w:p>
    <w:p w14:paraId="439F3FAA">
      <w:pPr>
        <w:pStyle w:val="230"/>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8"/>
          <w:szCs w:val="28"/>
          <w:highlight w:val="none"/>
          <w:lang w:val="zh-CN"/>
        </w:rPr>
        <w:sectPr>
          <w:footerReference r:id="rId4" w:type="default"/>
          <w:pgSz w:w="11906" w:h="16838"/>
          <w:pgMar w:top="1418" w:right="1418" w:bottom="1418" w:left="1418" w:header="851" w:footer="680" w:gutter="0"/>
          <w:cols w:space="1701" w:num="1"/>
          <w:docGrid w:linePitch="360" w:charSpace="0"/>
        </w:sectPr>
      </w:pPr>
    </w:p>
    <w:p w14:paraId="76E62B84">
      <w:pPr>
        <w:pageBreakBefore w:val="0"/>
        <w:kinsoku/>
        <w:wordWrap/>
        <w:overflowPunct/>
        <w:topLinePunct w:val="0"/>
        <w:autoSpaceDE/>
        <w:autoSpaceDN/>
        <w:bidi w:val="0"/>
        <w:adjustRightInd/>
        <w:snapToGrid/>
        <w:spacing w:line="360" w:lineRule="auto"/>
        <w:ind w:right="567"/>
        <w:jc w:val="center"/>
        <w:textAlignment w:val="auto"/>
        <w:outlineLvl w:val="0"/>
        <w:rPr>
          <w:rFonts w:hint="eastAsia" w:ascii="宋体" w:hAnsi="宋体" w:eastAsia="宋体" w:cs="宋体"/>
          <w:b/>
          <w:bCs/>
          <w:color w:val="auto"/>
          <w:sz w:val="44"/>
          <w:szCs w:val="44"/>
          <w:highlight w:val="none"/>
          <w:lang w:val="zh-CN"/>
        </w:rPr>
      </w:pPr>
      <w:r>
        <w:rPr>
          <w:rFonts w:hint="eastAsia" w:ascii="宋体" w:hAnsi="宋体" w:eastAsia="宋体" w:cs="宋体"/>
          <w:b/>
          <w:bCs/>
          <w:color w:val="auto"/>
          <w:sz w:val="44"/>
          <w:szCs w:val="44"/>
          <w:highlight w:val="none"/>
          <w:lang w:val="zh-CN"/>
        </w:rPr>
        <w:t>第四章</w:t>
      </w:r>
      <w:r>
        <w:rPr>
          <w:rFonts w:hint="eastAsia" w:ascii="宋体" w:hAnsi="宋体" w:eastAsia="宋体" w:cs="宋体"/>
          <w:b/>
          <w:bCs/>
          <w:color w:val="auto"/>
          <w:sz w:val="44"/>
          <w:szCs w:val="44"/>
          <w:highlight w:val="none"/>
        </w:rPr>
        <w:t xml:space="preserve"> </w:t>
      </w:r>
      <w:r>
        <w:rPr>
          <w:rFonts w:hint="eastAsia" w:ascii="宋体" w:hAnsi="宋体" w:eastAsia="宋体" w:cs="宋体"/>
          <w:b/>
          <w:bCs/>
          <w:color w:val="auto"/>
          <w:sz w:val="44"/>
          <w:szCs w:val="44"/>
          <w:highlight w:val="none"/>
          <w:lang w:val="zh-CN"/>
        </w:rPr>
        <w:t>采购需求及技术、服务要求</w:t>
      </w:r>
    </w:p>
    <w:p w14:paraId="514AF2DA">
      <w:pPr>
        <w:pageBreakBefore w:val="0"/>
        <w:numPr>
          <w:ilvl w:val="0"/>
          <w:numId w:val="1"/>
        </w:numPr>
        <w:kinsoku/>
        <w:wordWrap/>
        <w:overflowPunct/>
        <w:topLinePunct w:val="0"/>
        <w:autoSpaceDN/>
        <w:bidi w:val="0"/>
        <w:adjustRightInd/>
        <w:snapToGrid/>
        <w:spacing w:line="360" w:lineRule="auto"/>
        <w:ind w:firstLine="420" w:firstLineChars="15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服务周期：</w:t>
      </w:r>
      <w:r>
        <w:rPr>
          <w:rFonts w:hint="eastAsia" w:ascii="宋体" w:hAnsi="宋体" w:eastAsia="宋体" w:cs="宋体"/>
          <w:color w:val="auto"/>
          <w:kern w:val="2"/>
          <w:sz w:val="28"/>
          <w:szCs w:val="28"/>
          <w:highlight w:val="none"/>
          <w:lang w:val="en-US" w:eastAsia="zh-CN"/>
        </w:rPr>
        <w:t>1年。</w:t>
      </w:r>
    </w:p>
    <w:p w14:paraId="61CDE702">
      <w:pPr>
        <w:pageBreakBefore w:val="0"/>
        <w:kinsoku/>
        <w:wordWrap/>
        <w:overflowPunct/>
        <w:topLinePunct w:val="0"/>
        <w:autoSpaceDN/>
        <w:bidi w:val="0"/>
        <w:adjustRightInd/>
        <w:snapToGrid/>
        <w:spacing w:line="360" w:lineRule="auto"/>
        <w:ind w:firstLine="420" w:firstLineChars="15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二、人员机械要求</w:t>
      </w:r>
    </w:p>
    <w:p w14:paraId="0A3D080A">
      <w:pPr>
        <w:pageBreakBefore w:val="0"/>
        <w:kinsoku/>
        <w:wordWrap/>
        <w:overflowPunct/>
        <w:topLinePunct w:val="0"/>
        <w:autoSpaceDN/>
        <w:bidi w:val="0"/>
        <w:adjustRightInd/>
        <w:snapToGrid/>
        <w:spacing w:line="360" w:lineRule="auto"/>
        <w:ind w:firstLine="420" w:firstLineChars="150"/>
        <w:textAlignment w:val="auto"/>
        <w:rPr>
          <w:rFonts w:hint="eastAsia" w:ascii="宋体" w:hAnsi="宋体" w:eastAsia="宋体" w:cs="宋体"/>
          <w:b/>
          <w:bCs/>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保洁员30人，4吨</w:t>
      </w:r>
      <w:r>
        <w:rPr>
          <w:rFonts w:hint="eastAsia" w:ascii="宋体" w:hAnsi="宋体" w:eastAsia="宋体" w:cs="宋体"/>
          <w:color w:val="auto"/>
          <w:kern w:val="2"/>
          <w:sz w:val="28"/>
          <w:szCs w:val="28"/>
          <w:highlight w:val="none"/>
        </w:rPr>
        <w:t>洗扫车</w:t>
      </w:r>
      <w:r>
        <w:rPr>
          <w:rFonts w:hint="eastAsia" w:ascii="宋体" w:hAnsi="宋体" w:eastAsia="宋体" w:cs="宋体"/>
          <w:color w:val="auto"/>
          <w:kern w:val="2"/>
          <w:sz w:val="28"/>
          <w:szCs w:val="28"/>
          <w:highlight w:val="none"/>
          <w:lang w:val="en-US" w:eastAsia="zh-CN"/>
        </w:rPr>
        <w:t>2</w:t>
      </w:r>
      <w:r>
        <w:rPr>
          <w:rFonts w:hint="eastAsia" w:ascii="宋体" w:hAnsi="宋体" w:eastAsia="宋体" w:cs="宋体"/>
          <w:color w:val="auto"/>
          <w:kern w:val="2"/>
          <w:sz w:val="28"/>
          <w:szCs w:val="28"/>
          <w:highlight w:val="none"/>
        </w:rPr>
        <w:t>辆、</w:t>
      </w:r>
      <w:r>
        <w:rPr>
          <w:rFonts w:hint="eastAsia" w:ascii="宋体" w:hAnsi="宋体" w:eastAsia="宋体" w:cs="宋体"/>
          <w:color w:val="auto"/>
          <w:kern w:val="2"/>
          <w:sz w:val="28"/>
          <w:szCs w:val="28"/>
          <w:highlight w:val="none"/>
          <w:lang w:val="en-US" w:eastAsia="zh-CN"/>
        </w:rPr>
        <w:t>4吨压缩垃圾车1辆、</w:t>
      </w:r>
      <w:r>
        <w:rPr>
          <w:rFonts w:hint="eastAsia" w:ascii="宋体" w:hAnsi="宋体" w:eastAsia="宋体" w:cs="宋体"/>
          <w:color w:val="auto"/>
          <w:kern w:val="2"/>
          <w:sz w:val="28"/>
          <w:szCs w:val="28"/>
          <w:highlight w:val="none"/>
        </w:rPr>
        <w:t>1</w:t>
      </w:r>
      <w:r>
        <w:rPr>
          <w:rFonts w:hint="eastAsia" w:ascii="宋体" w:hAnsi="宋体" w:eastAsia="宋体" w:cs="宋体"/>
          <w:color w:val="auto"/>
          <w:kern w:val="2"/>
          <w:sz w:val="28"/>
          <w:szCs w:val="28"/>
          <w:highlight w:val="none"/>
          <w:lang w:val="en-US" w:eastAsia="zh-CN"/>
        </w:rPr>
        <w:t>5</w:t>
      </w:r>
      <w:r>
        <w:rPr>
          <w:rFonts w:hint="eastAsia" w:ascii="宋体" w:hAnsi="宋体" w:eastAsia="宋体" w:cs="宋体"/>
          <w:color w:val="auto"/>
          <w:kern w:val="2"/>
          <w:sz w:val="28"/>
          <w:szCs w:val="28"/>
          <w:highlight w:val="none"/>
        </w:rPr>
        <w:t>吨洒水车（含雾炮）</w:t>
      </w:r>
      <w:r>
        <w:rPr>
          <w:rFonts w:hint="eastAsia" w:ascii="宋体" w:hAnsi="宋体" w:eastAsia="宋体" w:cs="宋体"/>
          <w:color w:val="auto"/>
          <w:kern w:val="2"/>
          <w:sz w:val="28"/>
          <w:szCs w:val="28"/>
          <w:highlight w:val="none"/>
          <w:lang w:val="en-US" w:eastAsia="zh-CN"/>
        </w:rPr>
        <w:t>2</w:t>
      </w:r>
      <w:r>
        <w:rPr>
          <w:rFonts w:hint="eastAsia" w:ascii="宋体" w:hAnsi="宋体" w:eastAsia="宋体" w:cs="宋体"/>
          <w:color w:val="auto"/>
          <w:kern w:val="2"/>
          <w:sz w:val="28"/>
          <w:szCs w:val="28"/>
          <w:highlight w:val="none"/>
        </w:rPr>
        <w:t>辆、人行道冲洗车</w:t>
      </w:r>
      <w:r>
        <w:rPr>
          <w:rFonts w:hint="eastAsia" w:ascii="宋体" w:hAnsi="宋体" w:eastAsia="宋体" w:cs="宋体"/>
          <w:color w:val="auto"/>
          <w:kern w:val="2"/>
          <w:sz w:val="28"/>
          <w:szCs w:val="28"/>
          <w:highlight w:val="none"/>
          <w:lang w:val="en-US" w:eastAsia="zh-CN"/>
        </w:rPr>
        <w:t>4</w:t>
      </w:r>
      <w:r>
        <w:rPr>
          <w:rFonts w:hint="eastAsia" w:ascii="宋体" w:hAnsi="宋体" w:eastAsia="宋体" w:cs="宋体"/>
          <w:color w:val="auto"/>
          <w:kern w:val="2"/>
          <w:sz w:val="28"/>
          <w:szCs w:val="28"/>
          <w:highlight w:val="none"/>
        </w:rPr>
        <w:t>辆、保洁三轮车</w:t>
      </w:r>
      <w:r>
        <w:rPr>
          <w:rFonts w:hint="eastAsia" w:ascii="宋体" w:hAnsi="宋体" w:eastAsia="宋体" w:cs="宋体"/>
          <w:color w:val="auto"/>
          <w:kern w:val="2"/>
          <w:sz w:val="28"/>
          <w:szCs w:val="28"/>
          <w:highlight w:val="none"/>
          <w:lang w:val="en-US" w:eastAsia="zh-CN"/>
        </w:rPr>
        <w:t>4</w:t>
      </w:r>
      <w:r>
        <w:rPr>
          <w:rFonts w:hint="eastAsia" w:ascii="宋体" w:hAnsi="宋体" w:eastAsia="宋体" w:cs="宋体"/>
          <w:color w:val="auto"/>
          <w:kern w:val="2"/>
          <w:sz w:val="28"/>
          <w:szCs w:val="28"/>
          <w:highlight w:val="none"/>
        </w:rPr>
        <w:t>辆。</w:t>
      </w:r>
      <w:r>
        <w:rPr>
          <w:rFonts w:hint="eastAsia" w:ascii="宋体" w:hAnsi="宋体" w:eastAsia="宋体" w:cs="宋体"/>
          <w:color w:val="auto"/>
          <w:kern w:val="2"/>
          <w:sz w:val="28"/>
          <w:szCs w:val="28"/>
          <w:highlight w:val="none"/>
        </w:rPr>
        <w:t>绿化</w:t>
      </w:r>
      <w:r>
        <w:rPr>
          <w:rFonts w:hint="eastAsia" w:ascii="宋体" w:hAnsi="宋体" w:eastAsia="宋体" w:cs="宋体"/>
          <w:color w:val="auto"/>
          <w:kern w:val="2"/>
          <w:sz w:val="28"/>
          <w:szCs w:val="28"/>
          <w:highlight w:val="none"/>
          <w:lang w:val="en-US" w:eastAsia="zh-CN"/>
        </w:rPr>
        <w:t>专业</w:t>
      </w:r>
      <w:r>
        <w:rPr>
          <w:rFonts w:hint="eastAsia" w:ascii="宋体" w:hAnsi="宋体" w:eastAsia="宋体" w:cs="宋体"/>
          <w:color w:val="auto"/>
          <w:kern w:val="2"/>
          <w:sz w:val="28"/>
          <w:szCs w:val="28"/>
          <w:highlight w:val="none"/>
        </w:rPr>
        <w:t>技术</w:t>
      </w:r>
      <w:r>
        <w:rPr>
          <w:rFonts w:hint="eastAsia" w:ascii="宋体" w:hAnsi="宋体" w:eastAsia="宋体" w:cs="宋体"/>
          <w:color w:val="auto"/>
          <w:kern w:val="2"/>
          <w:sz w:val="28"/>
          <w:szCs w:val="28"/>
          <w:highlight w:val="none"/>
        </w:rPr>
        <w:t>负责人</w:t>
      </w:r>
      <w:r>
        <w:rPr>
          <w:rFonts w:hint="eastAsia" w:ascii="宋体" w:hAnsi="宋体" w:eastAsia="宋体" w:cs="宋体"/>
          <w:color w:val="auto"/>
          <w:kern w:val="2"/>
          <w:sz w:val="28"/>
          <w:szCs w:val="28"/>
          <w:highlight w:val="none"/>
        </w:rPr>
        <w:t>1人，绿化工1</w:t>
      </w:r>
      <w:r>
        <w:rPr>
          <w:rFonts w:hint="eastAsia" w:ascii="宋体" w:hAnsi="宋体" w:eastAsia="宋体" w:cs="宋体"/>
          <w:color w:val="auto"/>
          <w:kern w:val="2"/>
          <w:sz w:val="28"/>
          <w:szCs w:val="28"/>
          <w:highlight w:val="none"/>
          <w:lang w:val="en-US" w:eastAsia="zh-CN"/>
        </w:rPr>
        <w:t>5</w:t>
      </w:r>
      <w:r>
        <w:rPr>
          <w:rFonts w:hint="eastAsia" w:ascii="宋体" w:hAnsi="宋体" w:eastAsia="宋体" w:cs="宋体"/>
          <w:color w:val="auto"/>
          <w:kern w:val="2"/>
          <w:sz w:val="28"/>
          <w:szCs w:val="28"/>
          <w:highlight w:val="none"/>
        </w:rPr>
        <w:t>人，电动三轮车1辆，货车1辆</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所有车辆车身和人员工作服上印有“珍珠泉环卫”或“珍珠泉绿化养护”字样</w:t>
      </w:r>
      <w:r>
        <w:rPr>
          <w:rFonts w:hint="eastAsia" w:ascii="宋体" w:hAnsi="宋体" w:eastAsia="宋体" w:cs="宋体"/>
          <w:color w:val="auto"/>
          <w:kern w:val="2"/>
          <w:sz w:val="28"/>
          <w:szCs w:val="28"/>
          <w:highlight w:val="none"/>
          <w:lang w:val="en-US" w:eastAsia="zh-CN"/>
        </w:rPr>
        <w:t>。</w:t>
      </w:r>
      <w:r>
        <w:rPr>
          <w:rFonts w:hint="eastAsia" w:ascii="宋体" w:hAnsi="宋体" w:eastAsia="宋体" w:cs="宋体"/>
          <w:b/>
          <w:bCs/>
          <w:color w:val="auto"/>
          <w:kern w:val="2"/>
          <w:sz w:val="28"/>
          <w:szCs w:val="28"/>
          <w:highlight w:val="none"/>
          <w:lang w:val="en-US" w:eastAsia="zh-CN"/>
        </w:rPr>
        <w:t>保洁和绿化管养作业过程中，服务单位作业直接造成的以及管养的行道树等其他绿化造成的第三方人员受伤和财产损失责任由服务单位承担，与甲方无关。</w:t>
      </w:r>
    </w:p>
    <w:p w14:paraId="1EF34575">
      <w:pPr>
        <w:pageBreakBefore w:val="0"/>
        <w:kinsoku/>
        <w:wordWrap/>
        <w:overflowPunct/>
        <w:topLinePunct w:val="0"/>
        <w:autoSpaceDN/>
        <w:bidi w:val="0"/>
        <w:adjustRightInd/>
        <w:snapToGrid/>
        <w:spacing w:line="360" w:lineRule="auto"/>
        <w:ind w:firstLine="420" w:firstLineChars="15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三</w:t>
      </w:r>
      <w:r>
        <w:rPr>
          <w:rFonts w:hint="eastAsia" w:ascii="宋体" w:hAnsi="宋体" w:eastAsia="宋体" w:cs="宋体"/>
          <w:color w:val="auto"/>
          <w:kern w:val="2"/>
          <w:sz w:val="28"/>
          <w:szCs w:val="28"/>
          <w:highlight w:val="none"/>
        </w:rPr>
        <w:t>、作业</w:t>
      </w:r>
      <w:r>
        <w:rPr>
          <w:rFonts w:hint="eastAsia" w:ascii="宋体" w:hAnsi="宋体" w:eastAsia="宋体" w:cs="宋体"/>
          <w:color w:val="auto"/>
          <w:kern w:val="2"/>
          <w:sz w:val="28"/>
          <w:szCs w:val="28"/>
          <w:highlight w:val="none"/>
          <w:lang w:val="en-US" w:eastAsia="zh-CN"/>
        </w:rPr>
        <w:t>范围和</w:t>
      </w:r>
      <w:r>
        <w:rPr>
          <w:rFonts w:hint="eastAsia" w:ascii="宋体" w:hAnsi="宋体" w:eastAsia="宋体" w:cs="宋体"/>
          <w:color w:val="auto"/>
          <w:kern w:val="2"/>
          <w:sz w:val="28"/>
          <w:szCs w:val="28"/>
          <w:highlight w:val="none"/>
        </w:rPr>
        <w:t>标准</w:t>
      </w:r>
    </w:p>
    <w:p w14:paraId="5A9503A9">
      <w:pPr>
        <w:pageBreakBefore w:val="0"/>
        <w:kinsoku/>
        <w:wordWrap/>
        <w:overflowPunct/>
        <w:topLinePunct w:val="0"/>
        <w:autoSpaceDN/>
        <w:bidi w:val="0"/>
        <w:adjustRightInd/>
        <w:snapToGrid/>
        <w:spacing w:line="360" w:lineRule="auto"/>
        <w:ind w:firstLine="422" w:firstLineChars="150"/>
        <w:textAlignment w:val="auto"/>
        <w:rPr>
          <w:rFonts w:hint="eastAsia" w:ascii="宋体" w:hAnsi="宋体" w:eastAsia="宋体" w:cs="宋体"/>
          <w:b/>
          <w:bCs/>
          <w:color w:val="auto"/>
          <w:kern w:val="2"/>
          <w:sz w:val="28"/>
          <w:szCs w:val="28"/>
          <w:highlight w:val="none"/>
          <w:lang w:val="en-US" w:eastAsia="zh-CN"/>
        </w:rPr>
      </w:pPr>
      <w:r>
        <w:rPr>
          <w:rFonts w:hint="eastAsia" w:ascii="宋体" w:hAnsi="宋体" w:eastAsia="宋体" w:cs="宋体"/>
          <w:b/>
          <w:bCs/>
          <w:color w:val="auto"/>
          <w:kern w:val="2"/>
          <w:sz w:val="28"/>
          <w:szCs w:val="28"/>
          <w:highlight w:val="none"/>
          <w:lang w:val="en-US" w:eastAsia="zh-CN"/>
        </w:rPr>
        <w:t>（一）保洁</w:t>
      </w:r>
    </w:p>
    <w:p w14:paraId="0403658A">
      <w:pPr>
        <w:pageBreakBefore w:val="0"/>
        <w:kinsoku/>
        <w:wordWrap/>
        <w:overflowPunct/>
        <w:topLinePunct w:val="0"/>
        <w:autoSpaceDN/>
        <w:bidi w:val="0"/>
        <w:adjustRightInd/>
        <w:snapToGrid/>
        <w:spacing w:line="360" w:lineRule="auto"/>
        <w:ind w:firstLine="422" w:firstLineChars="150"/>
        <w:textAlignment w:val="auto"/>
        <w:rPr>
          <w:rFonts w:hint="eastAsia" w:ascii="宋体" w:hAnsi="宋体" w:eastAsia="宋体" w:cs="宋体"/>
          <w:b/>
          <w:bCs/>
          <w:color w:val="auto"/>
          <w:kern w:val="2"/>
          <w:sz w:val="28"/>
          <w:szCs w:val="28"/>
          <w:highlight w:val="none"/>
          <w:lang w:val="en-US" w:eastAsia="zh-CN"/>
        </w:rPr>
      </w:pPr>
      <w:r>
        <w:rPr>
          <w:rFonts w:hint="eastAsia" w:ascii="宋体" w:hAnsi="宋体" w:eastAsia="宋体" w:cs="宋体"/>
          <w:b/>
          <w:bCs/>
          <w:color w:val="auto"/>
          <w:kern w:val="2"/>
          <w:sz w:val="28"/>
          <w:szCs w:val="28"/>
          <w:highlight w:val="none"/>
          <w:lang w:val="en-US" w:eastAsia="zh-CN"/>
        </w:rPr>
        <w:t>1.范围</w:t>
      </w:r>
    </w:p>
    <w:p w14:paraId="576D9F6A">
      <w:pPr>
        <w:pageBreakBefore w:val="0"/>
        <w:kinsoku/>
        <w:wordWrap/>
        <w:overflowPunct/>
        <w:topLinePunct w:val="0"/>
        <w:autoSpaceDN/>
        <w:bidi w:val="0"/>
        <w:adjustRightInd/>
        <w:snapToGrid/>
        <w:spacing w:line="360" w:lineRule="auto"/>
        <w:ind w:firstLine="420" w:firstLineChars="150"/>
        <w:textAlignment w:val="auto"/>
        <w:rPr>
          <w:rFonts w:hint="eastAsia" w:ascii="宋体" w:hAnsi="宋体" w:eastAsia="宋体" w:cs="宋体"/>
          <w:b/>
          <w:bCs/>
          <w:color w:val="auto"/>
          <w:kern w:val="2"/>
          <w:sz w:val="28"/>
          <w:szCs w:val="28"/>
          <w:highlight w:val="none"/>
          <w:lang w:val="en-US" w:eastAsia="zh-CN"/>
        </w:rPr>
      </w:pPr>
      <w:r>
        <w:rPr>
          <w:rFonts w:hint="eastAsia" w:ascii="宋体" w:hAnsi="宋体" w:eastAsia="宋体" w:cs="宋体"/>
          <w:color w:val="auto"/>
          <w:kern w:val="2"/>
          <w:sz w:val="28"/>
          <w:szCs w:val="28"/>
          <w:highlight w:val="none"/>
        </w:rPr>
        <w:t>龙谷路、营盘山路、云出路、十三号路</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名佛路、珍佛路、佛展路、浦合路人行道、进山野道</w:t>
      </w:r>
      <w:r>
        <w:rPr>
          <w:rFonts w:hint="eastAsia" w:ascii="宋体" w:hAnsi="宋体" w:eastAsia="宋体" w:cs="宋体"/>
          <w:color w:val="auto"/>
          <w:kern w:val="2"/>
          <w:sz w:val="28"/>
          <w:szCs w:val="28"/>
          <w:highlight w:val="none"/>
        </w:rPr>
        <w:t>等道路以及道路两侧可视范围绿地空地</w:t>
      </w:r>
      <w:r>
        <w:rPr>
          <w:rFonts w:hint="eastAsia" w:ascii="宋体" w:hAnsi="宋体" w:eastAsia="宋体" w:cs="宋体"/>
          <w:color w:val="auto"/>
          <w:kern w:val="2"/>
          <w:sz w:val="28"/>
          <w:szCs w:val="28"/>
          <w:highlight w:val="none"/>
          <w:lang w:val="en-US" w:eastAsia="zh-CN"/>
        </w:rPr>
        <w:t>组织</w:t>
      </w:r>
      <w:r>
        <w:rPr>
          <w:rFonts w:hint="eastAsia" w:ascii="宋体" w:hAnsi="宋体" w:eastAsia="宋体" w:cs="宋体"/>
          <w:color w:val="auto"/>
          <w:kern w:val="2"/>
          <w:sz w:val="28"/>
          <w:szCs w:val="28"/>
          <w:highlight w:val="none"/>
        </w:rPr>
        <w:t>保洁</w:t>
      </w:r>
      <w:r>
        <w:rPr>
          <w:rFonts w:hint="eastAsia" w:ascii="宋体" w:hAnsi="宋体" w:eastAsia="宋体" w:cs="宋体"/>
          <w:color w:val="auto"/>
          <w:kern w:val="2"/>
          <w:sz w:val="28"/>
          <w:szCs w:val="28"/>
          <w:highlight w:val="none"/>
          <w:lang w:eastAsia="zh-CN"/>
        </w:rPr>
        <w:t>、拆迁片区、管办、执法大队、八一新村</w:t>
      </w:r>
      <w:r>
        <w:rPr>
          <w:rFonts w:hint="eastAsia" w:ascii="宋体" w:hAnsi="宋体" w:eastAsia="宋体" w:cs="宋体"/>
          <w:color w:val="auto"/>
          <w:kern w:val="2"/>
          <w:sz w:val="28"/>
          <w:szCs w:val="28"/>
          <w:highlight w:val="none"/>
          <w:lang w:val="en-US" w:eastAsia="zh-CN"/>
        </w:rPr>
        <w:t>等区域垃圾清运以及国控点雾炮降尘等</w:t>
      </w:r>
      <w:r>
        <w:rPr>
          <w:rFonts w:hint="eastAsia" w:ascii="宋体" w:hAnsi="宋体" w:eastAsia="宋体" w:cs="宋体"/>
          <w:color w:val="auto"/>
          <w:kern w:val="2"/>
          <w:sz w:val="28"/>
          <w:szCs w:val="28"/>
          <w:highlight w:val="none"/>
        </w:rPr>
        <w:t>服务</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负责清运区域内零星偷倒的各类垃圾及渣土等</w:t>
      </w:r>
      <w:r>
        <w:rPr>
          <w:rFonts w:hint="eastAsia" w:ascii="宋体" w:hAnsi="宋体" w:eastAsia="宋体" w:cs="宋体"/>
          <w:b w:val="0"/>
          <w:bCs w:val="0"/>
          <w:color w:val="auto"/>
          <w:kern w:val="2"/>
          <w:sz w:val="28"/>
          <w:szCs w:val="28"/>
          <w:highlight w:val="none"/>
          <w:lang w:val="en-US" w:eastAsia="zh-CN" w:bidi="ar-SA"/>
        </w:rPr>
        <w:t>；</w:t>
      </w:r>
      <w:r>
        <w:rPr>
          <w:rFonts w:hint="eastAsia" w:ascii="宋体" w:hAnsi="宋体" w:eastAsia="宋体" w:cs="宋体"/>
          <w:color w:val="auto"/>
          <w:kern w:val="2"/>
          <w:sz w:val="28"/>
          <w:szCs w:val="28"/>
          <w:highlight w:val="none"/>
          <w:lang w:val="en-US" w:eastAsia="zh-CN"/>
        </w:rPr>
        <w:t>包括主要道路约18.65万平米，次要道路约3.78万平米，路测绿地空地约17.32万平米。包括但不限于上述范围。</w:t>
      </w:r>
    </w:p>
    <w:p w14:paraId="3AACE684">
      <w:pPr>
        <w:pageBreakBefore w:val="0"/>
        <w:numPr>
          <w:ilvl w:val="0"/>
          <w:numId w:val="2"/>
        </w:numPr>
        <w:kinsoku/>
        <w:wordWrap/>
        <w:overflowPunct/>
        <w:topLinePunct w:val="0"/>
        <w:autoSpaceDN/>
        <w:bidi w:val="0"/>
        <w:adjustRightInd/>
        <w:snapToGrid/>
        <w:spacing w:line="360" w:lineRule="auto"/>
        <w:ind w:firstLine="422" w:firstLineChars="150"/>
        <w:textAlignment w:val="auto"/>
        <w:rPr>
          <w:rFonts w:hint="eastAsia" w:ascii="宋体" w:hAnsi="宋体" w:eastAsia="宋体" w:cs="宋体"/>
          <w:b/>
          <w:bCs/>
          <w:color w:val="auto"/>
          <w:kern w:val="2"/>
          <w:sz w:val="28"/>
          <w:szCs w:val="28"/>
          <w:highlight w:val="none"/>
          <w:lang w:val="en-US" w:eastAsia="zh-CN"/>
        </w:rPr>
      </w:pPr>
      <w:r>
        <w:rPr>
          <w:rFonts w:hint="eastAsia" w:ascii="宋体" w:hAnsi="宋体" w:eastAsia="宋体" w:cs="宋体"/>
          <w:b/>
          <w:bCs/>
          <w:color w:val="auto"/>
          <w:kern w:val="2"/>
          <w:sz w:val="28"/>
          <w:szCs w:val="28"/>
          <w:highlight w:val="none"/>
          <w:lang w:val="en-US" w:eastAsia="zh-CN"/>
        </w:rPr>
        <w:t>标准</w:t>
      </w:r>
    </w:p>
    <w:p w14:paraId="4E7D0F18">
      <w:pPr>
        <w:pageBreakBefore w:val="0"/>
        <w:numPr>
          <w:ilvl w:val="0"/>
          <w:numId w:val="0"/>
        </w:numPr>
        <w:kinsoku/>
        <w:wordWrap/>
        <w:overflowPunct/>
        <w:topLinePunct w:val="0"/>
        <w:autoSpaceDN/>
        <w:bidi w:val="0"/>
        <w:adjustRightInd/>
        <w:snapToGrid/>
        <w:spacing w:line="360" w:lineRule="auto"/>
        <w:ind w:firstLine="281" w:firstLineChars="100"/>
        <w:textAlignment w:val="auto"/>
        <w:rPr>
          <w:rFonts w:hint="eastAsia" w:ascii="宋体" w:hAnsi="宋体" w:eastAsia="宋体" w:cs="宋体"/>
          <w:color w:val="auto"/>
          <w:kern w:val="2"/>
          <w:sz w:val="28"/>
          <w:szCs w:val="28"/>
          <w:highlight w:val="none"/>
          <w:lang w:eastAsia="zh-CN"/>
        </w:rPr>
      </w:pPr>
      <w:r>
        <w:rPr>
          <w:rFonts w:hint="eastAsia" w:ascii="宋体" w:hAnsi="宋体" w:eastAsia="宋体" w:cs="宋体"/>
          <w:b/>
          <w:bCs/>
          <w:color w:val="auto"/>
          <w:kern w:val="2"/>
          <w:sz w:val="28"/>
          <w:szCs w:val="28"/>
          <w:highlight w:val="none"/>
          <w:lang w:val="en-US" w:eastAsia="zh-CN"/>
        </w:rPr>
        <w:t>主要道路：</w:t>
      </w:r>
      <w:r>
        <w:rPr>
          <w:rFonts w:hint="eastAsia" w:ascii="宋体" w:hAnsi="宋体" w:eastAsia="宋体" w:cs="宋体"/>
          <w:color w:val="auto"/>
          <w:kern w:val="2"/>
          <w:sz w:val="28"/>
          <w:szCs w:val="28"/>
          <w:highlight w:val="none"/>
        </w:rPr>
        <w:t>洗扫车每天作业2次，人工分段负责普扫，流动保洁人员不间断巡回作业；路面洒水每天3次，见本色；人行道每天冲洗1次；</w:t>
      </w:r>
      <w:r>
        <w:rPr>
          <w:rFonts w:hint="eastAsia" w:ascii="宋体" w:hAnsi="宋体" w:eastAsia="宋体" w:cs="宋体"/>
          <w:color w:val="auto"/>
          <w:kern w:val="2"/>
          <w:sz w:val="28"/>
          <w:szCs w:val="28"/>
          <w:highlight w:val="none"/>
          <w:lang w:val="en-US" w:eastAsia="zh-CN"/>
        </w:rPr>
        <w:t>空地</w:t>
      </w:r>
      <w:r>
        <w:rPr>
          <w:rFonts w:hint="eastAsia" w:ascii="宋体" w:hAnsi="宋体" w:eastAsia="宋体" w:cs="宋体"/>
          <w:color w:val="auto"/>
          <w:kern w:val="2"/>
          <w:sz w:val="28"/>
          <w:szCs w:val="28"/>
          <w:highlight w:val="none"/>
        </w:rPr>
        <w:t>保洁采取“人工定片+巡回保洁”的方式，</w:t>
      </w:r>
      <w:r>
        <w:rPr>
          <w:rFonts w:hint="eastAsia" w:ascii="宋体" w:hAnsi="宋体" w:eastAsia="宋体" w:cs="宋体"/>
          <w:color w:val="auto"/>
          <w:kern w:val="2"/>
          <w:sz w:val="28"/>
          <w:szCs w:val="28"/>
          <w:highlight w:val="none"/>
          <w:lang w:val="en-US" w:eastAsia="zh-CN"/>
        </w:rPr>
        <w:t>空地</w:t>
      </w:r>
      <w:r>
        <w:rPr>
          <w:rFonts w:hint="eastAsia" w:ascii="宋体" w:hAnsi="宋体" w:eastAsia="宋体" w:cs="宋体"/>
          <w:color w:val="auto"/>
          <w:kern w:val="2"/>
          <w:sz w:val="28"/>
          <w:szCs w:val="28"/>
          <w:highlight w:val="none"/>
        </w:rPr>
        <w:t>中无垃圾和枯枝落叶</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保洁范围内护栏、公交站台等市政设施每天保洁1次</w:t>
      </w:r>
      <w:r>
        <w:rPr>
          <w:rFonts w:hint="eastAsia" w:ascii="宋体" w:hAnsi="宋体" w:eastAsia="宋体" w:cs="宋体"/>
          <w:color w:val="auto"/>
          <w:kern w:val="2"/>
          <w:sz w:val="28"/>
          <w:szCs w:val="28"/>
          <w:highlight w:val="none"/>
          <w:lang w:eastAsia="zh-CN"/>
        </w:rPr>
        <w:t>。</w:t>
      </w:r>
      <w:r>
        <w:rPr>
          <w:rFonts w:hint="eastAsia" w:ascii="宋体" w:hAnsi="宋体" w:eastAsia="宋体" w:cs="宋体"/>
          <w:b w:val="0"/>
          <w:bCs w:val="0"/>
          <w:color w:val="auto"/>
          <w:kern w:val="2"/>
          <w:sz w:val="28"/>
          <w:szCs w:val="28"/>
          <w:highlight w:val="none"/>
          <w:lang w:val="en-US" w:eastAsia="zh-CN"/>
        </w:rPr>
        <w:t>有活动保障需求，根据要求路段实行地毯式保洁。</w:t>
      </w:r>
    </w:p>
    <w:p w14:paraId="5BBC91C0">
      <w:pPr>
        <w:pageBreakBefore w:val="0"/>
        <w:kinsoku/>
        <w:wordWrap/>
        <w:overflowPunct/>
        <w:topLinePunct w:val="0"/>
        <w:autoSpaceDN/>
        <w:bidi w:val="0"/>
        <w:adjustRightInd/>
        <w:snapToGrid/>
        <w:spacing w:line="360" w:lineRule="auto"/>
        <w:ind w:firstLine="422" w:firstLineChars="150"/>
        <w:textAlignment w:val="auto"/>
        <w:rPr>
          <w:rFonts w:hint="eastAsia" w:ascii="宋体" w:hAnsi="宋体" w:eastAsia="宋体" w:cs="宋体"/>
          <w:b w:val="0"/>
          <w:bCs w:val="0"/>
          <w:color w:val="auto"/>
          <w:kern w:val="2"/>
          <w:sz w:val="28"/>
          <w:szCs w:val="28"/>
          <w:highlight w:val="none"/>
          <w:lang w:val="en-US" w:eastAsia="zh-CN"/>
        </w:rPr>
      </w:pPr>
      <w:r>
        <w:rPr>
          <w:rFonts w:hint="eastAsia" w:ascii="宋体" w:hAnsi="宋体" w:eastAsia="宋体" w:cs="宋体"/>
          <w:b/>
          <w:bCs/>
          <w:color w:val="auto"/>
          <w:kern w:val="2"/>
          <w:sz w:val="28"/>
          <w:szCs w:val="28"/>
          <w:highlight w:val="none"/>
          <w:lang w:val="en-US" w:eastAsia="zh-CN"/>
        </w:rPr>
        <w:t>次要道路：</w:t>
      </w:r>
      <w:r>
        <w:rPr>
          <w:rFonts w:hint="eastAsia" w:ascii="宋体" w:hAnsi="宋体" w:eastAsia="宋体" w:cs="宋体"/>
          <w:color w:val="auto"/>
          <w:kern w:val="2"/>
          <w:sz w:val="28"/>
          <w:szCs w:val="28"/>
          <w:highlight w:val="none"/>
          <w:lang w:val="en-US" w:eastAsia="zh-CN"/>
        </w:rPr>
        <w:t>道路保洁采取“机械保洁+人工普扫+流动保洁”的方式。空地保洁采取“人工定片+巡回保洁”的方式，空地中无垃圾和枯枝落</w:t>
      </w:r>
      <w:r>
        <w:rPr>
          <w:rFonts w:hint="eastAsia" w:ascii="宋体" w:hAnsi="宋体" w:eastAsia="宋体" w:cs="宋体"/>
          <w:b w:val="0"/>
          <w:bCs w:val="0"/>
          <w:color w:val="auto"/>
          <w:kern w:val="2"/>
          <w:sz w:val="28"/>
          <w:szCs w:val="28"/>
          <w:highlight w:val="none"/>
          <w:lang w:val="en-US" w:eastAsia="zh-CN"/>
        </w:rPr>
        <w:t>叶。</w:t>
      </w:r>
      <w:r>
        <w:rPr>
          <w:rFonts w:hint="eastAsia" w:ascii="宋体" w:hAnsi="宋体" w:eastAsia="宋体" w:cs="宋体"/>
          <w:color w:val="auto"/>
          <w:kern w:val="2"/>
          <w:sz w:val="28"/>
          <w:szCs w:val="28"/>
          <w:highlight w:val="none"/>
          <w:lang w:val="en-US" w:eastAsia="zh-CN"/>
        </w:rPr>
        <w:t>洗扫车每2天作业1次，路面每天洒水1次，人工分段捡拾垃圾；保洁范围内护栏、公交站台等市政设施每天保洁1次。</w:t>
      </w:r>
      <w:r>
        <w:rPr>
          <w:rFonts w:hint="eastAsia" w:ascii="宋体" w:hAnsi="宋体" w:eastAsia="宋体" w:cs="宋体"/>
          <w:b w:val="0"/>
          <w:bCs w:val="0"/>
          <w:color w:val="auto"/>
          <w:kern w:val="2"/>
          <w:sz w:val="28"/>
          <w:szCs w:val="28"/>
          <w:highlight w:val="none"/>
          <w:lang w:val="en-US" w:eastAsia="zh-CN"/>
        </w:rPr>
        <w:t>有活动保障需求，根据要求路段实行地毯式保洁。</w:t>
      </w:r>
    </w:p>
    <w:p w14:paraId="719D4839">
      <w:pPr>
        <w:pageBreakBefore w:val="0"/>
        <w:numPr>
          <w:ilvl w:val="0"/>
          <w:numId w:val="3"/>
        </w:numPr>
        <w:kinsoku/>
        <w:wordWrap/>
        <w:overflowPunct/>
        <w:topLinePunct w:val="0"/>
        <w:autoSpaceDN/>
        <w:bidi w:val="0"/>
        <w:adjustRightInd/>
        <w:snapToGrid/>
        <w:spacing w:line="360" w:lineRule="auto"/>
        <w:ind w:firstLine="422" w:firstLineChars="150"/>
        <w:textAlignment w:val="auto"/>
        <w:rPr>
          <w:rFonts w:hint="eastAsia" w:ascii="宋体" w:hAnsi="宋体" w:eastAsia="宋体" w:cs="宋体"/>
          <w:b/>
          <w:bCs/>
          <w:color w:val="auto"/>
          <w:kern w:val="2"/>
          <w:sz w:val="28"/>
          <w:szCs w:val="28"/>
          <w:highlight w:val="none"/>
          <w:lang w:val="en-US" w:eastAsia="zh-CN"/>
        </w:rPr>
      </w:pPr>
      <w:r>
        <w:rPr>
          <w:rFonts w:hint="eastAsia" w:ascii="宋体" w:hAnsi="宋体" w:eastAsia="宋体" w:cs="宋体"/>
          <w:b/>
          <w:bCs/>
          <w:color w:val="auto"/>
          <w:kern w:val="2"/>
          <w:sz w:val="28"/>
          <w:szCs w:val="28"/>
          <w:highlight w:val="none"/>
          <w:lang w:val="en-US" w:eastAsia="zh-CN"/>
        </w:rPr>
        <w:t>绿化</w:t>
      </w:r>
    </w:p>
    <w:p w14:paraId="760CCED8">
      <w:pPr>
        <w:pageBreakBefore w:val="0"/>
        <w:numPr>
          <w:ilvl w:val="0"/>
          <w:numId w:val="4"/>
        </w:numPr>
        <w:kinsoku/>
        <w:wordWrap/>
        <w:overflowPunct/>
        <w:topLinePunct w:val="0"/>
        <w:autoSpaceDN/>
        <w:bidi w:val="0"/>
        <w:adjustRightInd/>
        <w:snapToGrid/>
        <w:spacing w:line="360" w:lineRule="auto"/>
        <w:ind w:left="480" w:leftChars="0" w:firstLine="0" w:firstLineChars="0"/>
        <w:textAlignment w:val="auto"/>
        <w:rPr>
          <w:rFonts w:hint="eastAsia" w:ascii="宋体" w:hAnsi="宋体" w:eastAsia="宋体" w:cs="宋体"/>
          <w:b/>
          <w:bCs/>
          <w:color w:val="auto"/>
          <w:kern w:val="2"/>
          <w:sz w:val="28"/>
          <w:szCs w:val="28"/>
          <w:highlight w:val="none"/>
          <w:lang w:val="en-US" w:eastAsia="zh-CN"/>
        </w:rPr>
      </w:pPr>
      <w:r>
        <w:rPr>
          <w:rFonts w:hint="eastAsia" w:ascii="宋体" w:hAnsi="宋体" w:eastAsia="宋体" w:cs="宋体"/>
          <w:b/>
          <w:bCs/>
          <w:color w:val="auto"/>
          <w:kern w:val="2"/>
          <w:sz w:val="28"/>
          <w:szCs w:val="28"/>
          <w:highlight w:val="none"/>
          <w:lang w:val="en-US" w:eastAsia="zh-CN"/>
        </w:rPr>
        <w:t>范围</w:t>
      </w:r>
    </w:p>
    <w:p w14:paraId="20E29693">
      <w:pPr>
        <w:pageBreakBefore w:val="0"/>
        <w:numPr>
          <w:ilvl w:val="0"/>
          <w:numId w:val="0"/>
        </w:numPr>
        <w:kinsoku/>
        <w:wordWrap/>
        <w:overflowPunct/>
        <w:topLinePunct w:val="0"/>
        <w:autoSpaceDN/>
        <w:bidi w:val="0"/>
        <w:adjustRightInd/>
        <w:snapToGri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甲方指定的</w:t>
      </w:r>
      <w:r>
        <w:rPr>
          <w:rFonts w:hint="eastAsia" w:ascii="宋体" w:hAnsi="宋体" w:eastAsia="宋体" w:cs="宋体"/>
          <w:color w:val="auto"/>
          <w:kern w:val="2"/>
          <w:sz w:val="28"/>
          <w:szCs w:val="28"/>
          <w:highlight w:val="none"/>
        </w:rPr>
        <w:t>度假区</w:t>
      </w:r>
      <w:r>
        <w:rPr>
          <w:rFonts w:hint="eastAsia" w:ascii="宋体" w:hAnsi="宋体" w:eastAsia="宋体" w:cs="宋体"/>
          <w:color w:val="auto"/>
          <w:kern w:val="2"/>
          <w:sz w:val="28"/>
          <w:szCs w:val="28"/>
          <w:highlight w:val="none"/>
          <w:lang w:val="en-US" w:eastAsia="zh-CN"/>
        </w:rPr>
        <w:t>公共区</w:t>
      </w:r>
      <w:r>
        <w:rPr>
          <w:rFonts w:hint="eastAsia" w:ascii="宋体" w:hAnsi="宋体" w:eastAsia="宋体" w:cs="宋体"/>
          <w:color w:val="auto"/>
          <w:kern w:val="2"/>
          <w:sz w:val="28"/>
          <w:szCs w:val="28"/>
          <w:highlight w:val="none"/>
        </w:rPr>
        <w:t>管养范围内所有绿化</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主要为浦合路两侧、绿园路两侧以及龙之谷区域绿地和行道树等，包括绿地约26.82万平米，行道树约2297棵。但不限于上述区域。</w:t>
      </w:r>
    </w:p>
    <w:p w14:paraId="33D9D2F9">
      <w:pPr>
        <w:pageBreakBefore w:val="0"/>
        <w:numPr>
          <w:ilvl w:val="0"/>
          <w:numId w:val="0"/>
        </w:numPr>
        <w:kinsoku/>
        <w:wordWrap/>
        <w:overflowPunct/>
        <w:topLinePunct w:val="0"/>
        <w:autoSpaceDN/>
        <w:bidi w:val="0"/>
        <w:adjustRightInd/>
        <w:snapToGrid/>
        <w:spacing w:line="360" w:lineRule="auto"/>
        <w:ind w:leftChars="150"/>
        <w:textAlignment w:val="auto"/>
        <w:rPr>
          <w:rFonts w:hint="eastAsia" w:ascii="宋体" w:hAnsi="宋体" w:eastAsia="宋体" w:cs="宋体"/>
          <w:b/>
          <w:bCs/>
          <w:color w:val="auto"/>
          <w:kern w:val="2"/>
          <w:sz w:val="28"/>
          <w:szCs w:val="28"/>
          <w:highlight w:val="none"/>
          <w:lang w:val="en-US" w:eastAsia="zh-CN"/>
        </w:rPr>
      </w:pPr>
      <w:r>
        <w:rPr>
          <w:rFonts w:hint="eastAsia" w:ascii="宋体" w:hAnsi="宋体" w:eastAsia="宋体" w:cs="宋体"/>
          <w:b/>
          <w:bCs/>
          <w:color w:val="auto"/>
          <w:kern w:val="2"/>
          <w:sz w:val="28"/>
          <w:szCs w:val="28"/>
          <w:highlight w:val="none"/>
          <w:lang w:val="en-US" w:eastAsia="zh-CN"/>
        </w:rPr>
        <w:t>2、标准</w:t>
      </w:r>
    </w:p>
    <w:p w14:paraId="73BA79A9">
      <w:pPr>
        <w:pageBreakBefore w:val="0"/>
        <w:numPr>
          <w:ilvl w:val="0"/>
          <w:numId w:val="0"/>
        </w:numPr>
        <w:kinsoku/>
        <w:wordWrap/>
        <w:overflowPunct/>
        <w:topLinePunct w:val="0"/>
        <w:autoSpaceDN/>
        <w:bidi w:val="0"/>
        <w:adjustRightInd/>
        <w:snapToGri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涵盖</w:t>
      </w:r>
      <w:r>
        <w:rPr>
          <w:rFonts w:hint="eastAsia" w:ascii="宋体" w:hAnsi="宋体" w:eastAsia="宋体" w:cs="宋体"/>
          <w:color w:val="auto"/>
          <w:kern w:val="2"/>
          <w:sz w:val="28"/>
          <w:szCs w:val="28"/>
          <w:highlight w:val="none"/>
        </w:rPr>
        <w:t>行道树、乔木、灌木、绿篱、草坪、地被植物、花坛、花境、垂直绿化、水生植物、竹类植物、盆（箱）栽植物、古树名木等十三类植物的养护质量标准，同时</w:t>
      </w:r>
      <w:r>
        <w:rPr>
          <w:rFonts w:hint="eastAsia" w:ascii="宋体" w:hAnsi="宋体" w:eastAsia="宋体" w:cs="宋体"/>
          <w:color w:val="auto"/>
          <w:kern w:val="2"/>
          <w:sz w:val="28"/>
          <w:szCs w:val="28"/>
          <w:highlight w:val="none"/>
          <w:lang w:val="en-US" w:eastAsia="zh-CN"/>
        </w:rPr>
        <w:t>对</w:t>
      </w:r>
      <w:r>
        <w:rPr>
          <w:rFonts w:hint="eastAsia" w:ascii="宋体" w:hAnsi="宋体" w:eastAsia="宋体" w:cs="宋体"/>
          <w:color w:val="auto"/>
          <w:kern w:val="2"/>
          <w:sz w:val="28"/>
          <w:szCs w:val="28"/>
          <w:highlight w:val="none"/>
        </w:rPr>
        <w:t>设施维护、卫生保洁、绿地保护的养护管理质量标准</w:t>
      </w:r>
      <w:r>
        <w:rPr>
          <w:rFonts w:hint="eastAsia" w:ascii="宋体" w:hAnsi="宋体" w:eastAsia="宋体" w:cs="宋体"/>
          <w:color w:val="auto"/>
          <w:kern w:val="2"/>
          <w:sz w:val="28"/>
          <w:szCs w:val="28"/>
          <w:highlight w:val="none"/>
          <w:lang w:val="en-US" w:eastAsia="zh-CN"/>
        </w:rPr>
        <w:t>覆盖。</w:t>
      </w:r>
    </w:p>
    <w:p w14:paraId="56FF6B9A">
      <w:pPr>
        <w:pageBreakBefore w:val="0"/>
        <w:kinsoku/>
        <w:wordWrap/>
        <w:overflowPunct/>
        <w:topLinePunct w:val="0"/>
        <w:autoSpaceDN/>
        <w:bidi w:val="0"/>
        <w:adjustRightInd/>
        <w:snapToGrid/>
        <w:spacing w:line="360" w:lineRule="auto"/>
        <w:ind w:firstLine="560" w:firstLineChars="20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四</w:t>
      </w:r>
      <w:r>
        <w:rPr>
          <w:rFonts w:hint="eastAsia" w:ascii="宋体" w:hAnsi="宋体" w:eastAsia="宋体" w:cs="宋体"/>
          <w:color w:val="auto"/>
          <w:kern w:val="2"/>
          <w:sz w:val="28"/>
          <w:szCs w:val="28"/>
          <w:highlight w:val="none"/>
        </w:rPr>
        <w:t>、具体要求</w:t>
      </w:r>
    </w:p>
    <w:p w14:paraId="51A7613A">
      <w:pPr>
        <w:pageBreakBefore w:val="0"/>
        <w:kinsoku/>
        <w:wordWrap/>
        <w:overflowPunct/>
        <w:topLinePunct w:val="0"/>
        <w:autoSpaceDN/>
        <w:bidi w:val="0"/>
        <w:adjustRightInd/>
        <w:snapToGrid/>
        <w:spacing w:line="360" w:lineRule="auto"/>
        <w:ind w:firstLine="281" w:firstLineChars="100"/>
        <w:textAlignment w:val="auto"/>
        <w:rPr>
          <w:rFonts w:hint="eastAsia" w:ascii="宋体" w:hAnsi="宋体" w:eastAsia="宋体" w:cs="宋体"/>
          <w:b/>
          <w:bCs/>
          <w:color w:val="auto"/>
          <w:kern w:val="2"/>
          <w:sz w:val="28"/>
          <w:szCs w:val="28"/>
          <w:highlight w:val="none"/>
          <w:lang w:val="en-US" w:eastAsia="zh-CN"/>
        </w:rPr>
      </w:pPr>
      <w:r>
        <w:rPr>
          <w:rFonts w:hint="eastAsia" w:ascii="宋体" w:hAnsi="宋体" w:eastAsia="宋体" w:cs="宋体"/>
          <w:b/>
          <w:bCs/>
          <w:color w:val="auto"/>
          <w:kern w:val="2"/>
          <w:sz w:val="28"/>
          <w:szCs w:val="28"/>
          <w:highlight w:val="none"/>
          <w:lang w:eastAsia="zh-CN"/>
        </w:rPr>
        <w:t>（</w:t>
      </w:r>
      <w:r>
        <w:rPr>
          <w:rFonts w:hint="eastAsia" w:ascii="宋体" w:hAnsi="宋体" w:eastAsia="宋体" w:cs="宋体"/>
          <w:b/>
          <w:bCs/>
          <w:color w:val="auto"/>
          <w:kern w:val="2"/>
          <w:sz w:val="28"/>
          <w:szCs w:val="28"/>
          <w:highlight w:val="none"/>
          <w:lang w:val="en-US" w:eastAsia="zh-CN"/>
        </w:rPr>
        <w:t>一</w:t>
      </w:r>
      <w:r>
        <w:rPr>
          <w:rFonts w:hint="eastAsia" w:ascii="宋体" w:hAnsi="宋体" w:eastAsia="宋体" w:cs="宋体"/>
          <w:b/>
          <w:bCs/>
          <w:color w:val="auto"/>
          <w:kern w:val="2"/>
          <w:sz w:val="28"/>
          <w:szCs w:val="28"/>
          <w:highlight w:val="none"/>
          <w:lang w:eastAsia="zh-CN"/>
        </w:rPr>
        <w:t>）</w:t>
      </w:r>
      <w:r>
        <w:rPr>
          <w:rFonts w:hint="eastAsia" w:ascii="宋体" w:hAnsi="宋体" w:eastAsia="宋体" w:cs="宋体"/>
          <w:b/>
          <w:bCs/>
          <w:color w:val="auto"/>
          <w:kern w:val="2"/>
          <w:sz w:val="28"/>
          <w:szCs w:val="28"/>
          <w:highlight w:val="none"/>
          <w:lang w:val="en-US" w:eastAsia="zh-CN"/>
        </w:rPr>
        <w:t>保洁方面</w:t>
      </w:r>
    </w:p>
    <w:p w14:paraId="13CB8BDE">
      <w:pPr>
        <w:pageBreakBefore w:val="0"/>
        <w:kinsoku/>
        <w:wordWrap/>
        <w:overflowPunct/>
        <w:topLinePunct w:val="0"/>
        <w:autoSpaceDN/>
        <w:bidi w:val="0"/>
        <w:adjustRightInd/>
        <w:snapToGrid/>
        <w:spacing w:line="360" w:lineRule="auto"/>
        <w:ind w:firstLine="562" w:firstLineChars="200"/>
        <w:textAlignment w:val="auto"/>
        <w:rPr>
          <w:rFonts w:hint="eastAsia" w:ascii="宋体" w:hAnsi="宋体" w:eastAsia="宋体" w:cs="宋体"/>
          <w:b/>
          <w:bCs/>
          <w:color w:val="auto"/>
          <w:kern w:val="2"/>
          <w:sz w:val="28"/>
          <w:szCs w:val="28"/>
          <w:highlight w:val="none"/>
          <w:lang w:val="en-US" w:eastAsia="zh-CN"/>
        </w:rPr>
      </w:pPr>
      <w:r>
        <w:rPr>
          <w:rFonts w:hint="eastAsia" w:ascii="宋体" w:hAnsi="宋体" w:eastAsia="宋体" w:cs="宋体"/>
          <w:b/>
          <w:bCs/>
          <w:color w:val="auto"/>
          <w:kern w:val="2"/>
          <w:sz w:val="28"/>
          <w:szCs w:val="28"/>
          <w:highlight w:val="none"/>
          <w:lang w:val="en-US" w:eastAsia="zh-CN"/>
        </w:rPr>
        <w:t>主要道路：</w:t>
      </w:r>
    </w:p>
    <w:p w14:paraId="29DC1651">
      <w:pPr>
        <w:pageBreakBefore w:val="0"/>
        <w:kinsoku/>
        <w:wordWrap/>
        <w:overflowPunct/>
        <w:topLinePunct w:val="0"/>
        <w:autoSpaceDN/>
        <w:bidi w:val="0"/>
        <w:adjustRightInd/>
        <w:snapToGrid/>
        <w:spacing w:line="360" w:lineRule="auto"/>
        <w:ind w:firstLine="560" w:firstLineChars="20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1、道路清扫保洁标准：“十无十净、一降低、本色化”。</w:t>
      </w:r>
    </w:p>
    <w:p w14:paraId="22D8CA9B">
      <w:pPr>
        <w:pageBreakBefore w:val="0"/>
        <w:kinsoku/>
        <w:wordWrap/>
        <w:overflowPunct/>
        <w:topLinePunct w:val="0"/>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“十无”即：①无果皮烟头纸屑、白色垃圾②无杂物堆（散）放③无枯枝落叶④无砖石瓦片⑤无沙粒泥土积尘⑥无痰迹污渍⑦无人畜粪便⑧雨后无积水⑨无杂草青苔⑩无污水污染。</w:t>
      </w:r>
    </w:p>
    <w:p w14:paraId="686CB6FA">
      <w:pPr>
        <w:pageBreakBefore w:val="0"/>
        <w:kinsoku/>
        <w:wordWrap/>
        <w:overflowPunct/>
        <w:topLinePunct w:val="0"/>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十净”即：①路面干净②路牙侧石干净③挡（池）墙面干净④排水口窨井盖沟槽干净⑤人行道外侧场地干净⑥台阶踏步干净⑦墙角干净⑧绿地树穴干净⑨非机动车停放场地干净⑩垃圾桶、果壳箱、坐凳底及周边干净。</w:t>
      </w:r>
    </w:p>
    <w:p w14:paraId="59B7C557">
      <w:pPr>
        <w:pageBreakBefore w:val="0"/>
        <w:kinsoku/>
        <w:wordWrap/>
        <w:overflowPunct/>
        <w:topLinePunct w:val="0"/>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“一降低”即：降低道路扬尘。重要道路及人流量高的道路要有吸尘降尘设备，每天吸尘一次。</w:t>
      </w:r>
    </w:p>
    <w:p w14:paraId="6E4B2222">
      <w:pPr>
        <w:pageBreakBefore w:val="0"/>
        <w:kinsoku/>
        <w:wordWrap/>
        <w:overflowPunct/>
        <w:topLinePunct w:val="0"/>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“本色化”即：快车道、慢车道、人行道及外侧硬铺装场地保持本色无污染。</w:t>
      </w:r>
    </w:p>
    <w:p w14:paraId="305E0F75">
      <w:pPr>
        <w:pageBreakBefore w:val="0"/>
        <w:kinsoku/>
        <w:wordWrap/>
        <w:overflowPunct/>
        <w:topLinePunct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2、机扫车作业每天不少于2次，作业时间：5月～9月期间，第一次清扫应在6：00前完成，其他月份清扫应在7：00前完成，</w:t>
      </w:r>
      <w:r>
        <w:rPr>
          <w:rFonts w:hint="eastAsia" w:ascii="宋体" w:hAnsi="宋体" w:eastAsia="宋体" w:cs="宋体"/>
          <w:color w:val="auto"/>
          <w:kern w:val="2"/>
          <w:sz w:val="28"/>
          <w:szCs w:val="28"/>
          <w:highlight w:val="none"/>
          <w:lang w:val="en-US" w:eastAsia="zh-CN"/>
        </w:rPr>
        <w:t>主要</w:t>
      </w:r>
      <w:r>
        <w:rPr>
          <w:rFonts w:hint="eastAsia" w:ascii="宋体" w:hAnsi="宋体" w:eastAsia="宋体" w:cs="宋体"/>
          <w:color w:val="auto"/>
          <w:kern w:val="2"/>
          <w:sz w:val="28"/>
          <w:szCs w:val="28"/>
          <w:highlight w:val="none"/>
        </w:rPr>
        <w:t>道路在早上8点-9点都保持湿润。</w:t>
      </w:r>
    </w:p>
    <w:p w14:paraId="7D3D200B">
      <w:pPr>
        <w:pageBreakBefore w:val="0"/>
        <w:kinsoku/>
        <w:wordWrap/>
        <w:overflowPunct/>
        <w:topLinePunct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3、机械清扫率达100%。清扫机械盘刷落地清扫，确保清扫质量。</w:t>
      </w:r>
    </w:p>
    <w:p w14:paraId="0BB3959C">
      <w:pPr>
        <w:pageBreakBefore w:val="0"/>
        <w:kinsoku/>
        <w:wordWrap/>
        <w:overflowPunct/>
        <w:topLinePunct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4、道路保洁采用巡回作业方式。</w:t>
      </w:r>
    </w:p>
    <w:p w14:paraId="69F4FBD1">
      <w:pPr>
        <w:pageBreakBefore w:val="0"/>
        <w:kinsoku/>
        <w:wordWrap/>
        <w:overflowPunct/>
        <w:topLinePunct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5、道路机械清扫保洁、洒水时间要求：</w:t>
      </w:r>
    </w:p>
    <w:p w14:paraId="41C18BB8">
      <w:pPr>
        <w:pageBreakBefore w:val="0"/>
        <w:kinsoku/>
        <w:wordWrap/>
        <w:overflowPunct/>
        <w:topLinePunct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（1）清扫保洁：</w:t>
      </w:r>
      <w:r>
        <w:rPr>
          <w:rFonts w:hint="eastAsia" w:ascii="宋体" w:hAnsi="宋体" w:eastAsia="宋体" w:cs="宋体"/>
          <w:color w:val="auto"/>
          <w:kern w:val="2"/>
          <w:sz w:val="28"/>
          <w:szCs w:val="28"/>
          <w:highlight w:val="none"/>
          <w:lang w:val="en-US" w:eastAsia="zh-CN"/>
        </w:rPr>
        <w:t>主要</w:t>
      </w:r>
      <w:r>
        <w:rPr>
          <w:rFonts w:hint="eastAsia" w:ascii="宋体" w:hAnsi="宋体" w:eastAsia="宋体" w:cs="宋体"/>
          <w:color w:val="auto"/>
          <w:kern w:val="2"/>
          <w:sz w:val="28"/>
          <w:szCs w:val="28"/>
          <w:highlight w:val="none"/>
        </w:rPr>
        <w:t>道路≥8小时/日，机械清扫频次≥2次/日；一般保洁道路1次/3日。</w:t>
      </w:r>
    </w:p>
    <w:p w14:paraId="2829185C">
      <w:pPr>
        <w:pageBreakBefore w:val="0"/>
        <w:kinsoku/>
        <w:wordWrap/>
        <w:overflowPunct/>
        <w:topLinePunct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（2）洒水（冲洗）：</w:t>
      </w:r>
      <w:r>
        <w:rPr>
          <w:rFonts w:hint="eastAsia" w:ascii="宋体" w:hAnsi="宋体" w:eastAsia="宋体" w:cs="宋体"/>
          <w:color w:val="auto"/>
          <w:kern w:val="2"/>
          <w:sz w:val="28"/>
          <w:szCs w:val="28"/>
          <w:highlight w:val="none"/>
          <w:lang w:val="en-US" w:eastAsia="zh-CN"/>
        </w:rPr>
        <w:t>主要</w:t>
      </w:r>
      <w:r>
        <w:rPr>
          <w:rFonts w:hint="eastAsia" w:ascii="宋体" w:hAnsi="宋体" w:eastAsia="宋体" w:cs="宋体"/>
          <w:color w:val="auto"/>
          <w:kern w:val="2"/>
          <w:sz w:val="28"/>
          <w:szCs w:val="28"/>
          <w:highlight w:val="none"/>
        </w:rPr>
        <w:t>道路≥3次/日</w:t>
      </w:r>
    </w:p>
    <w:p w14:paraId="5936982A">
      <w:pPr>
        <w:pageBreakBefore w:val="0"/>
        <w:kinsoku/>
        <w:wordWrap/>
        <w:overflowPunct/>
        <w:topLinePunct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6、洒水（清洗）作业规范：</w:t>
      </w:r>
    </w:p>
    <w:p w14:paraId="491537E3">
      <w:pPr>
        <w:pageBreakBefore w:val="0"/>
        <w:kinsoku/>
        <w:wordWrap/>
        <w:overflowPunct/>
        <w:topLinePunct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（1）路面作业时，洒水车、高压冲洗车等车辆必须遵守交通规则。</w:t>
      </w:r>
    </w:p>
    <w:p w14:paraId="077D0B37">
      <w:pPr>
        <w:pageBreakBefore w:val="0"/>
        <w:kinsoku/>
        <w:wordWrap/>
        <w:overflowPunct/>
        <w:topLinePunct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（2） 洒水时不得漏洒（漏冲），注意调整高度和水压，作业结束后，应做到路面、侧石、交通隔离带以及道路相关公共设施周围无泥沙和积水。</w:t>
      </w:r>
    </w:p>
    <w:p w14:paraId="2C0773D5">
      <w:pPr>
        <w:pageBreakBefore w:val="0"/>
        <w:kinsoku/>
        <w:wordWrap/>
        <w:overflowPunct/>
        <w:topLinePunct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（3）清洗作业时水压调整适当，洒水车、机扫车、人工洗刷相互配合，以消除路面的积泥、砂石、污迹。清洗被严重污染的路面时，须反复冲洗，直至路面见本色。</w:t>
      </w:r>
    </w:p>
    <w:p w14:paraId="22F8349C">
      <w:pPr>
        <w:pageBreakBefore w:val="0"/>
        <w:kinsoku/>
        <w:wordWrap/>
        <w:overflowPunct/>
        <w:topLinePunct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（4）清洗人行道时，洒水车须调整好水流幅宽，并配以人工洗刷路面，清洗被油污污染较为严重的路面时，可适当添加洗洁精等清洁液，反复冲洗，直至路面见本色。</w:t>
      </w:r>
    </w:p>
    <w:p w14:paraId="6B5C28BA">
      <w:pPr>
        <w:pageBreakBefore w:val="0"/>
        <w:kinsoku/>
        <w:wordWrap/>
        <w:overflowPunct/>
        <w:topLinePunct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 xml:space="preserve"> （5）洒水车不得倒车洒水。</w:t>
      </w:r>
    </w:p>
    <w:p w14:paraId="75947D83">
      <w:pPr>
        <w:pageBreakBefore w:val="0"/>
        <w:kinsoku/>
        <w:wordWrap/>
        <w:overflowPunct/>
        <w:topLinePunct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7、果壳箱完好无损，内应加套专用垃圾袋，做到每天及时收集、无满溢，及时消毒无异味、无苍蝇，箱体每天擦洗，手抹无灰尘。</w:t>
      </w:r>
    </w:p>
    <w:p w14:paraId="143B9063">
      <w:pPr>
        <w:pageBreakBefore w:val="0"/>
        <w:kinsoku/>
        <w:wordWrap/>
        <w:overflowPunct/>
        <w:topLinePunct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8、保洁作业车辆封闭、完好，车体干净整洁，统一喷字标识，停放位置不妨碍交通。</w:t>
      </w:r>
    </w:p>
    <w:p w14:paraId="434AE32E">
      <w:pPr>
        <w:pageBreakBefore w:val="0"/>
        <w:kinsoku/>
        <w:wordWrap/>
        <w:overflowPunct/>
        <w:topLinePunct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9、现场作业人员使用扫帚、簸箕等作业工具统一配备、式样一致、方便使用，不用时摆放在隐蔽处。</w:t>
      </w:r>
    </w:p>
    <w:p w14:paraId="42AFA492">
      <w:pPr>
        <w:pageBreakBefore w:val="0"/>
        <w:kinsoku/>
        <w:wordWrap/>
        <w:overflowPunct/>
        <w:topLinePunct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10、现场作业人员（含机扫车司机，随车辅助清扫洒水人员）作业时必须穿统一工作服、反光背心，着装干净整齐。</w:t>
      </w:r>
    </w:p>
    <w:p w14:paraId="1215001A">
      <w:pPr>
        <w:pageBreakBefore w:val="0"/>
        <w:kinsoku/>
        <w:wordWrap/>
        <w:overflowPunct/>
        <w:topLinePunct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11、及时清除道路路面（含人行道和平交路口）的工程渣土、建筑垃圾等一切违规的倾倒物。</w:t>
      </w:r>
    </w:p>
    <w:p w14:paraId="44A0F351">
      <w:pPr>
        <w:pageBreakBefore w:val="0"/>
        <w:kinsoku/>
        <w:wordWrap/>
        <w:overflowPunct/>
        <w:topLinePunct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12、及时清除突发性造成的路面油污及化学污染物。</w:t>
      </w:r>
    </w:p>
    <w:p w14:paraId="613754D8">
      <w:pPr>
        <w:pageBreakBefore w:val="0"/>
        <w:kinsoku/>
        <w:wordWrap/>
        <w:overflowPunct/>
        <w:topLinePunct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13、除雪。需要制定除雪应急预案，大雪来临，必须安排人员参与，确保桥梁、道路无积雪，道路无冰冻。</w:t>
      </w:r>
    </w:p>
    <w:p w14:paraId="2CA6F878">
      <w:pPr>
        <w:pageBreakBefore w:val="0"/>
        <w:kinsoku/>
        <w:wordWrap/>
        <w:overflowPunct/>
        <w:topLinePunct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14、道路两边或者中分带护栏，每月清洗一次。</w:t>
      </w:r>
    </w:p>
    <w:p w14:paraId="159F05D9">
      <w:pPr>
        <w:pageBreakBefore w:val="0"/>
        <w:kinsoku/>
        <w:wordWrap/>
        <w:overflowPunct/>
        <w:topLinePunct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15、不定期组织队甲方指定进山野道两侧开展保洁。</w:t>
      </w:r>
    </w:p>
    <w:p w14:paraId="043D54C1">
      <w:pPr>
        <w:pageBreakBefore w:val="0"/>
        <w:kinsoku/>
        <w:wordWrap/>
        <w:overflowPunct/>
        <w:topLinePunct w:val="0"/>
        <w:autoSpaceDN/>
        <w:bidi w:val="0"/>
        <w:adjustRightInd/>
        <w:snapToGrid/>
        <w:spacing w:line="360" w:lineRule="auto"/>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16、根据甲方要求，在指定道路开展雾炮降尘。</w:t>
      </w:r>
    </w:p>
    <w:p w14:paraId="0E6D828D">
      <w:pPr>
        <w:pageBreakBefore w:val="0"/>
        <w:kinsoku/>
        <w:wordWrap/>
        <w:overflowPunct/>
        <w:topLinePunct w:val="0"/>
        <w:autoSpaceDN/>
        <w:bidi w:val="0"/>
        <w:adjustRightInd/>
        <w:snapToGrid/>
        <w:spacing w:line="360" w:lineRule="auto"/>
        <w:textAlignment w:val="auto"/>
        <w:rPr>
          <w:rFonts w:hint="eastAsia" w:ascii="宋体" w:hAnsi="宋体" w:eastAsia="宋体" w:cs="宋体"/>
          <w:b/>
          <w:bCs/>
          <w:color w:val="auto"/>
          <w:kern w:val="2"/>
          <w:sz w:val="28"/>
          <w:szCs w:val="28"/>
          <w:highlight w:val="none"/>
          <w:lang w:val="en-US" w:eastAsia="zh-CN"/>
        </w:rPr>
      </w:pPr>
      <w:r>
        <w:rPr>
          <w:rFonts w:hint="eastAsia" w:ascii="宋体" w:hAnsi="宋体" w:eastAsia="宋体" w:cs="宋体"/>
          <w:b/>
          <w:bCs/>
          <w:color w:val="auto"/>
          <w:kern w:val="2"/>
          <w:sz w:val="28"/>
          <w:szCs w:val="28"/>
          <w:highlight w:val="none"/>
          <w:lang w:val="en-US" w:eastAsia="zh-CN"/>
        </w:rPr>
        <w:t>次要道路：</w:t>
      </w:r>
    </w:p>
    <w:p w14:paraId="2A26DDCE">
      <w:pPr>
        <w:pageBreakBefore w:val="0"/>
        <w:widowControl/>
        <w:kinsoku/>
        <w:wordWrap/>
        <w:overflowPunct/>
        <w:topLinePunct w:val="0"/>
        <w:autoSpaceDN/>
        <w:bidi w:val="0"/>
        <w:adjustRightInd/>
        <w:snapToGrid/>
        <w:spacing w:line="360" w:lineRule="auto"/>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1、道路清扫保洁标准：“无果皮烟头纸屑、白色垃圾，无杂物堆（散）放、砖石瓦片，无枯枝落叶、杂草青苔，无痰迹、污渍，无污水、积水。</w:t>
      </w:r>
    </w:p>
    <w:p w14:paraId="1F9FB764">
      <w:pPr>
        <w:pageBreakBefore w:val="0"/>
        <w:widowControl/>
        <w:kinsoku/>
        <w:wordWrap/>
        <w:overflowPunct/>
        <w:topLinePunct w:val="0"/>
        <w:autoSpaceDN/>
        <w:bidi w:val="0"/>
        <w:adjustRightInd/>
        <w:snapToGrid/>
        <w:spacing w:line="360" w:lineRule="auto"/>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2、</w:t>
      </w:r>
      <w:r>
        <w:rPr>
          <w:rFonts w:hint="eastAsia" w:ascii="宋体" w:hAnsi="宋体" w:eastAsia="宋体" w:cs="宋体"/>
          <w:color w:val="auto"/>
          <w:kern w:val="2"/>
          <w:sz w:val="28"/>
          <w:szCs w:val="28"/>
          <w:highlight w:val="none"/>
        </w:rPr>
        <w:t>垃圾实施分类收集，</w:t>
      </w:r>
      <w:r>
        <w:rPr>
          <w:rFonts w:hint="eastAsia" w:ascii="宋体" w:hAnsi="宋体" w:eastAsia="宋体" w:cs="宋体"/>
          <w:color w:val="auto"/>
          <w:kern w:val="0"/>
          <w:sz w:val="28"/>
          <w:szCs w:val="28"/>
          <w:highlight w:val="none"/>
        </w:rPr>
        <w:t>垃圾桶箱周边干净无污染。</w:t>
      </w:r>
    </w:p>
    <w:p w14:paraId="3614D09D">
      <w:pPr>
        <w:pageBreakBefore w:val="0"/>
        <w:widowControl/>
        <w:kinsoku/>
        <w:wordWrap/>
        <w:overflowPunct/>
        <w:topLinePunct w:val="0"/>
        <w:autoSpaceDN/>
        <w:bidi w:val="0"/>
        <w:adjustRightInd/>
        <w:snapToGrid/>
        <w:spacing w:line="360" w:lineRule="auto"/>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2"/>
          <w:sz w:val="28"/>
          <w:szCs w:val="28"/>
          <w:highlight w:val="none"/>
        </w:rPr>
        <w:t>3、</w:t>
      </w:r>
      <w:r>
        <w:rPr>
          <w:rFonts w:hint="eastAsia" w:ascii="宋体" w:hAnsi="宋体" w:eastAsia="宋体" w:cs="宋体"/>
          <w:color w:val="auto"/>
          <w:kern w:val="0"/>
          <w:sz w:val="28"/>
          <w:szCs w:val="28"/>
          <w:highlight w:val="none"/>
        </w:rPr>
        <w:t>道路普扫作业时间：5月～9月期间，清扫应在7：00前完成；其他月份清扫应在7：30前完成。</w:t>
      </w:r>
    </w:p>
    <w:p w14:paraId="5FEF12B6">
      <w:pPr>
        <w:pageBreakBefore w:val="0"/>
        <w:widowControl/>
        <w:kinsoku/>
        <w:wordWrap/>
        <w:overflowPunct/>
        <w:topLinePunct w:val="0"/>
        <w:autoSpaceDN/>
        <w:bidi w:val="0"/>
        <w:adjustRightInd/>
        <w:snapToGrid/>
        <w:spacing w:line="360" w:lineRule="auto"/>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lang w:val="en-US" w:eastAsia="zh-CN"/>
        </w:rPr>
        <w:t>4、每2天机扫1次，每天洒水1次</w:t>
      </w:r>
      <w:r>
        <w:rPr>
          <w:rFonts w:hint="eastAsia" w:ascii="宋体" w:hAnsi="宋体" w:eastAsia="宋体" w:cs="宋体"/>
          <w:color w:val="auto"/>
          <w:kern w:val="0"/>
          <w:sz w:val="28"/>
          <w:szCs w:val="28"/>
          <w:highlight w:val="none"/>
          <w:lang w:eastAsia="zh-CN"/>
        </w:rPr>
        <w:t>。</w:t>
      </w:r>
    </w:p>
    <w:p w14:paraId="45DEBD65">
      <w:pPr>
        <w:pageBreakBefore w:val="0"/>
        <w:kinsoku/>
        <w:wordWrap/>
        <w:overflowPunct/>
        <w:topLinePunct w:val="0"/>
        <w:autoSpaceDN/>
        <w:bidi w:val="0"/>
        <w:adjustRightInd/>
        <w:snapToGrid/>
        <w:spacing w:line="360" w:lineRule="auto"/>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lang w:val="en-US" w:eastAsia="zh-CN"/>
        </w:rPr>
        <w:t>5</w:t>
      </w:r>
      <w:r>
        <w:rPr>
          <w:rFonts w:hint="eastAsia" w:ascii="宋体" w:hAnsi="宋体" w:eastAsia="宋体" w:cs="宋体"/>
          <w:color w:val="auto"/>
          <w:kern w:val="0"/>
          <w:sz w:val="28"/>
          <w:szCs w:val="28"/>
          <w:highlight w:val="none"/>
        </w:rPr>
        <w:t>、及时清除突发性造成的路面油污及化学污染物。</w:t>
      </w:r>
    </w:p>
    <w:p w14:paraId="1F7B5B00">
      <w:pPr>
        <w:pageBreakBefore w:val="0"/>
        <w:kinsoku/>
        <w:wordWrap/>
        <w:overflowPunct/>
        <w:topLinePunct w:val="0"/>
        <w:autoSpaceDN/>
        <w:bidi w:val="0"/>
        <w:adjustRightInd/>
        <w:snapToGrid/>
        <w:spacing w:line="360" w:lineRule="auto"/>
        <w:textAlignment w:val="auto"/>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（二）绿化</w:t>
      </w:r>
    </w:p>
    <w:p w14:paraId="3221A227">
      <w:pPr>
        <w:pageBreakBefore w:val="0"/>
        <w:kinsoku/>
        <w:wordWrap/>
        <w:overflowPunct/>
        <w:topLinePunct w:val="0"/>
        <w:autoSpaceDE w:val="0"/>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1.行道树的养护质量标准</w:t>
      </w:r>
    </w:p>
    <w:p w14:paraId="541C500F">
      <w:pPr>
        <w:pageBreakBefore w:val="0"/>
        <w:kinsoku/>
        <w:wordWrap/>
        <w:overflowPunct/>
        <w:topLinePunct w:val="0"/>
        <w:autoSpaceDE w:val="0"/>
        <w:autoSpaceDN/>
        <w:bidi w:val="0"/>
        <w:adjustRightInd/>
        <w:snapToGrid/>
        <w:spacing w:line="360" w:lineRule="auto"/>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（1）树木长势茂盛，规格整齐，树干挺直，定干高度一致，树冠丰满。新栽树木定干高度为4.2米。</w:t>
      </w:r>
    </w:p>
    <w:p w14:paraId="7833D61C">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（2）无枯枝、交叉枝、过密枝、并生枝、病虫枝，主干上无萌蘖枝；无影响交通、架空线路、路灯、建筑、行人安全的树枝。</w:t>
      </w:r>
    </w:p>
    <w:p w14:paraId="36F9D1C8">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 xml:space="preserve">（3）枝条修剪截面要平整，不留短桩。截面直径大于6厘米的伤口要涂防腐剂。 </w:t>
      </w:r>
    </w:p>
    <w:p w14:paraId="248C2362">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（4）无明显病虫危害迹象，树干无未处理的腐洞。</w:t>
      </w:r>
    </w:p>
    <w:p w14:paraId="2E72955D">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（5）树体无钉挂物、悬挂物。</w:t>
      </w:r>
    </w:p>
    <w:p w14:paraId="32B7436A">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（6）树穴设施完好，黄土不裸露，无杂草、杂物。</w:t>
      </w:r>
    </w:p>
    <w:p w14:paraId="2C9E2B2C">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（7）无死株、缺株、严重倾斜株。无法修整复壮的树木及时申报更换。</w:t>
      </w:r>
    </w:p>
    <w:p w14:paraId="59A460BF">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（8）新栽、补栽的树木和易受害倒伏的树木应设立扶木支撑，扎缚规范有效。</w:t>
      </w:r>
    </w:p>
    <w:p w14:paraId="7FD3B17A">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（9）每年12月至次年1月上旬，树干要刷白一次，高度1.2米。</w:t>
      </w:r>
    </w:p>
    <w:p w14:paraId="3553A587">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（10）主干道建立一路一档，有动态养护记录，历史资料齐全。</w:t>
      </w:r>
    </w:p>
    <w:p w14:paraId="255C2F4B">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2.乔木树养护质量标准</w:t>
      </w:r>
    </w:p>
    <w:p w14:paraId="2552C7A8">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（1）树木长势茂盛，树冠完整丰满，主侧枝分布匀称。</w:t>
      </w:r>
    </w:p>
    <w:p w14:paraId="7605DAFE">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（2）无枯枝、伤残枝、交叉枝、过密枝、徒长枝、并生枝，主干上无萌蘖枝。</w:t>
      </w:r>
    </w:p>
    <w:p w14:paraId="0D3E10F5">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（3）无影响交通、架空线路、路灯、建筑、行人安全的树枝。</w:t>
      </w:r>
    </w:p>
    <w:p w14:paraId="52CF69FF">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（4）枝条修剪截面要平整，不留短桩。截面直径大于6厘米的伤口要涂防腐剂。</w:t>
      </w:r>
    </w:p>
    <w:p w14:paraId="4C41EC93">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（5）观花树木按时茂盛开花，观果树木正常结果。</w:t>
      </w:r>
    </w:p>
    <w:p w14:paraId="737750DB">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（6）无明显病虫危害迹象，树干无未处理的腐洞。</w:t>
      </w:r>
    </w:p>
    <w:p w14:paraId="108D630F">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（7）树体无钉挂物、悬挂物。</w:t>
      </w:r>
    </w:p>
    <w:p w14:paraId="43BB0432">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（8）树穴内无杂草、杂物，黄土不裸露。</w:t>
      </w:r>
    </w:p>
    <w:p w14:paraId="0EAFD9D9">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（9）落叶乔木每年12月至次年1月上旬，树干要刷白一次，高度1.2米。</w:t>
      </w:r>
    </w:p>
    <w:p w14:paraId="6AD5D324">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3.花灌木（含观花观果小乔木）养护质量标准</w:t>
      </w:r>
    </w:p>
    <w:p w14:paraId="7838A505">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（1）植株生长旺盛，枝叶健壮，分布均匀，造型美观。</w:t>
      </w:r>
    </w:p>
    <w:p w14:paraId="4C2EAA06">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（2）无枯枝残叶，树枝分布均匀，疏密度合宜，整形修剪与环境要求协调。</w:t>
      </w:r>
    </w:p>
    <w:p w14:paraId="092C0CE4">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（3）无明显病虫危害迹象。</w:t>
      </w:r>
    </w:p>
    <w:p w14:paraId="335A4D48">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（4）观花植物按时茂盛开花，观果植物正常结果。</w:t>
      </w:r>
    </w:p>
    <w:p w14:paraId="3A09CFC6">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（5）植株下无杂草、杂物。</w:t>
      </w:r>
    </w:p>
    <w:p w14:paraId="49C0741A">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（6）枝叶上无钉挂物和晾晒物。</w:t>
      </w:r>
    </w:p>
    <w:p w14:paraId="51E706CA">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（7）每年在休眠期施有机肥（基肥）一次；花前花后各施追肥一次。</w:t>
      </w:r>
    </w:p>
    <w:p w14:paraId="0CE40FC4">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4.绿篱、球类、色块植物养护质量标准</w:t>
      </w:r>
    </w:p>
    <w:p w14:paraId="7F2C9D46">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（1）枝条茂密，生长健壮。</w:t>
      </w:r>
    </w:p>
    <w:p w14:paraId="039FA0A1">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（2）修剪成型，层次分明，面平边齐，线条流畅，曲线处弧度圆润丰满。</w:t>
      </w:r>
    </w:p>
    <w:p w14:paraId="1F831D9B">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（3）观花植物按时茂盛开花，观果植物正常结果。</w:t>
      </w:r>
    </w:p>
    <w:p w14:paraId="51CC627E">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（4）无死株、缺株、断档现象。</w:t>
      </w:r>
    </w:p>
    <w:p w14:paraId="113D00C8">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（5）无枯枝、断枝、枯叶，无脱脚现象。</w:t>
      </w:r>
    </w:p>
    <w:p w14:paraId="35FF52A2">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（6）无明显病虫危害迹象；</w:t>
      </w:r>
    </w:p>
    <w:p w14:paraId="446092BF">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（7）基部无杂草、杂物。</w:t>
      </w:r>
    </w:p>
    <w:p w14:paraId="3F44DF2A">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（8）枝叶表面及球面、篱面无悬挂物、晾晒物。</w:t>
      </w:r>
    </w:p>
    <w:p w14:paraId="4A543A49">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（9）与草坪交界处切边整齐，宽度小于15cm。</w:t>
      </w:r>
    </w:p>
    <w:p w14:paraId="520E1583">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5.草坪养护质量标准</w:t>
      </w:r>
    </w:p>
    <w:p w14:paraId="7D435EAB">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（1）草坪生长健壮，覆盖率达98%以上，生长期无枯黄现象。</w:t>
      </w:r>
    </w:p>
    <w:p w14:paraId="077F9CB0">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（2）草坪内无低洼积水处，无明显裸露地。</w:t>
      </w:r>
    </w:p>
    <w:p w14:paraId="06A59ED5">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（3）推剪平整，冷季型草高不超过7cm，暖季型草高不超过5cm；修剪后剪口无撕裂现象。</w:t>
      </w:r>
    </w:p>
    <w:p w14:paraId="04B43A0F">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（4）草坪外边缘及树坛、花坛、花境、片植篱边缘切边清晰整齐，宽度小于15cm。</w:t>
      </w:r>
    </w:p>
    <w:p w14:paraId="0776AD02">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（5）草坪基本无病虫危害状，病虫受害率控制在5%以下。</w:t>
      </w:r>
    </w:p>
    <w:p w14:paraId="41640CE9">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（6）草坪上无修剪残留草屑、杂物，基本无杂草，无乱停乱放现象。</w:t>
      </w:r>
    </w:p>
    <w:p w14:paraId="739F6DE7">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6.地被植物养护质量标准</w:t>
      </w:r>
    </w:p>
    <w:p w14:paraId="559C972D">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（1）植物生长茂盛，观花植物按时茂盛开花，观果植物正常结果。</w:t>
      </w:r>
    </w:p>
    <w:p w14:paraId="2BF611F7">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（2）片植地被密度适宜，分布均匀，规格整齐，覆盖率大于95%。</w:t>
      </w:r>
    </w:p>
    <w:p w14:paraId="720773F6">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（3）无残花、枯叶、死株、缺株，基本无病虫危害现象。</w:t>
      </w:r>
    </w:p>
    <w:p w14:paraId="7828C200">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（4）无杂草、杂物；</w:t>
      </w:r>
    </w:p>
    <w:p w14:paraId="10DA5674">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（5）和草坪交界处切边清晰整齐，宽度小于15cm。</w:t>
      </w:r>
    </w:p>
    <w:p w14:paraId="3C4F3E73">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7.花坛和自然式花群养护质量标准（专指草本）</w:t>
      </w:r>
    </w:p>
    <w:p w14:paraId="0F9F26C2">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（1）按设计要求有全年用花计划，保持全年四季有花，无黄土裸露现象。</w:t>
      </w:r>
    </w:p>
    <w:p w14:paraId="08F8F470">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（2）同一品种花卉，规格一致，花期整齐，图案美观，整体景观效果好。</w:t>
      </w:r>
    </w:p>
    <w:p w14:paraId="5ECDCFA3">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（3）植株生长健壮，蓬径饱满。</w:t>
      </w:r>
    </w:p>
    <w:p w14:paraId="29BC1B9F">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（4）无病虫危害迹象。</w:t>
      </w:r>
    </w:p>
    <w:p w14:paraId="27760D62">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（5）花坛内土壤肥沃疏松，无杂草、杂物。</w:t>
      </w:r>
    </w:p>
    <w:p w14:paraId="77F5E012">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（6）无死株、缺株、残花败叶。</w:t>
      </w:r>
    </w:p>
    <w:p w14:paraId="6D37A9E5">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（7）部分品种或全部品种植株衰败时，应及时换花。</w:t>
      </w:r>
    </w:p>
    <w:p w14:paraId="5DC01658">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（8）围栏设施完好无损，和谐美观。</w:t>
      </w:r>
    </w:p>
    <w:p w14:paraId="4BDA6156">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8.花境养护质量标准</w:t>
      </w:r>
    </w:p>
    <w:p w14:paraId="59E5FF21">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（1）植株生长健壮，组团结构和群体效果好，高低错落有序。</w:t>
      </w:r>
    </w:p>
    <w:p w14:paraId="4F783C70">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（2）观花植物适时开花，保持春、夏、秋三季有花，开花不断，此起彼落，季相变化明显。</w:t>
      </w:r>
    </w:p>
    <w:p w14:paraId="52E14B53">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（3）花卉色彩鲜艳，观赏期长。</w:t>
      </w:r>
    </w:p>
    <w:p w14:paraId="28EF597A">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（4）无病虫危害迹象。</w:t>
      </w:r>
    </w:p>
    <w:p w14:paraId="7BDCFEB6">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（5）土壤肥沃疏松，无杂草、杂物、残花败叶。</w:t>
      </w:r>
    </w:p>
    <w:p w14:paraId="4B13078E">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（6）无死株、缺株。</w:t>
      </w:r>
    </w:p>
    <w:p w14:paraId="2E801BF5">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（7）和草坪交界处切边清晰整齐，宽度小于15cm。</w:t>
      </w:r>
    </w:p>
    <w:p w14:paraId="42E6579E">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（8）围栏砌体完好无损，和谐美观。</w:t>
      </w:r>
    </w:p>
    <w:p w14:paraId="641317F1">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（9）一、二年生草花及时换花。</w:t>
      </w:r>
    </w:p>
    <w:p w14:paraId="48AA7136">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（10）及时整形修剪、更新、换植。</w:t>
      </w:r>
    </w:p>
    <w:p w14:paraId="45D23E69">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9.垂直绿化植物养护质量标准</w:t>
      </w:r>
    </w:p>
    <w:p w14:paraId="7D43FACD">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（1）根据不同植物的攀援特点，采取牵引措施或设置网架等辅助设施，以助植物均匀覆盖攀爬物面。</w:t>
      </w:r>
    </w:p>
    <w:p w14:paraId="72AA2BAE">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（2）植物生长健壮，藤蔓枝叶茂盛。</w:t>
      </w:r>
    </w:p>
    <w:p w14:paraId="31AE74D0">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（3）植物枝叶分布均匀，无枯枝残叶。</w:t>
      </w:r>
    </w:p>
    <w:p w14:paraId="104F713E">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（4）无病虫危害迹象。</w:t>
      </w:r>
    </w:p>
    <w:p w14:paraId="4A82041A">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（5）无影响景观和妨碍交通的枝条。</w:t>
      </w:r>
    </w:p>
    <w:p w14:paraId="78B8FFD3">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（6）攀援覆盖面无缠挂物。</w:t>
      </w:r>
    </w:p>
    <w:p w14:paraId="51BDF3D1">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（7）植株栽植池内无杂草、杂物。</w:t>
      </w:r>
    </w:p>
    <w:p w14:paraId="606E6FDC">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（8）设施安全、完好无损。</w:t>
      </w:r>
    </w:p>
    <w:p w14:paraId="22479403">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10.水生植物养护质量标准</w:t>
      </w:r>
    </w:p>
    <w:p w14:paraId="77AA7E8B">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（1）配置合理，景观优美。</w:t>
      </w:r>
    </w:p>
    <w:p w14:paraId="4DEB1F4B">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（2）植株完整生长健壮，形态特征明显。</w:t>
      </w:r>
    </w:p>
    <w:p w14:paraId="66EF9666">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（3）观花观叶期长，观花观果植株花繁果茂。</w:t>
      </w:r>
    </w:p>
    <w:p w14:paraId="7AE99AF3">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（4）水质清澈，PH值保持在6.5－8.5。透明度M≥1.0。</w:t>
      </w:r>
    </w:p>
    <w:p w14:paraId="50088411">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（5）植株无病虫危害。</w:t>
      </w:r>
    </w:p>
    <w:p w14:paraId="7B287BA4">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（6）专人管理，定期定时清理漂浮物，水面无杂物。</w:t>
      </w:r>
    </w:p>
    <w:p w14:paraId="2618977B">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（7）驳岸安全稳固，设施完好无缺损。</w:t>
      </w:r>
    </w:p>
    <w:p w14:paraId="083C4CF8">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11.竹类植物养护质量标准</w:t>
      </w:r>
    </w:p>
    <w:p w14:paraId="00038977">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（1）竹丛通风透光，植株生长健壮，竹竿挺拔，枝叶青翠。</w:t>
      </w:r>
    </w:p>
    <w:p w14:paraId="59102489">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（2）新、老竹生长比例恰当，竹鞭无裸露。</w:t>
      </w:r>
    </w:p>
    <w:p w14:paraId="36B8D079">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（3）无病虫危害迹象。</w:t>
      </w:r>
    </w:p>
    <w:p w14:paraId="12A4C3CB">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（4）无死竹和枯竹。</w:t>
      </w:r>
    </w:p>
    <w:p w14:paraId="288B4D01">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（5）无杂草、杂物。</w:t>
      </w:r>
    </w:p>
    <w:p w14:paraId="21E02A02">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（6）竹林排水良好，无积水。</w:t>
      </w:r>
    </w:p>
    <w:p w14:paraId="0FB8B313">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12.盆、钵、箱体植物养护质量标准</w:t>
      </w:r>
    </w:p>
    <w:p w14:paraId="3603167D">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（1）植株生长旺盛，枝叶健壮，分布均匀，造型美观。</w:t>
      </w:r>
    </w:p>
    <w:p w14:paraId="24625D20">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（2）无枯枝残叶、交叉枝、徒长枝、并生枝、萌蘖枝。</w:t>
      </w:r>
    </w:p>
    <w:p w14:paraId="49F46DD8">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（3）无病虫危害迹象。</w:t>
      </w:r>
    </w:p>
    <w:p w14:paraId="74DADE40">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（4）观花植物按时茂盛开花，观果植物正常结果。</w:t>
      </w:r>
    </w:p>
    <w:p w14:paraId="54A72034">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（5）植株下和容器内无杂草、杂物，叶面清洁。</w:t>
      </w:r>
    </w:p>
    <w:p w14:paraId="64778504">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（6）容器完整清洁，容器外形、规格、色彩与植物要协调。</w:t>
      </w:r>
    </w:p>
    <w:p w14:paraId="5696AB83">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（7）排水要通畅。</w:t>
      </w:r>
    </w:p>
    <w:p w14:paraId="7E6EC0B7">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（8）花钵中换花及时，全年四季有花，花开不断。</w:t>
      </w:r>
    </w:p>
    <w:p w14:paraId="19D8606B">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w:t>
      </w:r>
      <w:r>
        <w:rPr>
          <w:rFonts w:hint="eastAsia" w:ascii="宋体" w:hAnsi="宋体" w:eastAsia="宋体" w:cs="宋体"/>
          <w:color w:val="auto"/>
          <w:kern w:val="2"/>
          <w:sz w:val="28"/>
          <w:szCs w:val="28"/>
          <w:highlight w:val="none"/>
          <w:lang w:val="en-US" w:eastAsia="zh-CN"/>
        </w:rPr>
        <w:t>3</w:t>
      </w:r>
      <w:r>
        <w:rPr>
          <w:rFonts w:hint="eastAsia" w:ascii="宋体" w:hAnsi="宋体" w:eastAsia="宋体" w:cs="宋体"/>
          <w:color w:val="auto"/>
          <w:kern w:val="2"/>
          <w:sz w:val="28"/>
          <w:szCs w:val="28"/>
          <w:highlight w:val="none"/>
        </w:rPr>
        <w:t>.古树名木养护质量标准</w:t>
      </w:r>
    </w:p>
    <w:p w14:paraId="45491457">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（1）保持植株的自然形态和面貌，具有较好的景观效果。</w:t>
      </w:r>
    </w:p>
    <w:p w14:paraId="062D4815">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（2）植株的保护性支撑物和棚架支撑必须与植株协调。</w:t>
      </w:r>
    </w:p>
    <w:p w14:paraId="56136306">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（3）植株无病枝、枯枝、腐烂枝和多余的萌蘗枝。无未处理的树洞和创伤。</w:t>
      </w:r>
    </w:p>
    <w:p w14:paraId="581AC589">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（4）基本无病虫害危害现象，植株上无影响生长的寄生植物。</w:t>
      </w:r>
    </w:p>
    <w:p w14:paraId="07DF11DB">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（5）保护区内无影响植株生长的建筑物、构筑物等。地面覆盖物必须有利植株生长。</w:t>
      </w:r>
    </w:p>
    <w:p w14:paraId="64E907C3">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（6）保护区内必须排水通畅，无积水。</w:t>
      </w:r>
    </w:p>
    <w:p w14:paraId="2B9F2860">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（7）植株必须有保护标牌，位置要明显，字迹要清晰。</w:t>
      </w:r>
    </w:p>
    <w:p w14:paraId="5B61DA65">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（8）保护区内的设施（如围栏、驳岸、避雷针）必须完整美观、安全有效。</w:t>
      </w:r>
    </w:p>
    <w:p w14:paraId="508AAB45">
      <w:pPr>
        <w:pageBreakBefore w:val="0"/>
        <w:kinsoku/>
        <w:wordWrap/>
        <w:overflowPunct/>
        <w:topLinePunct w:val="0"/>
        <w:autoSpaceDE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（9）保护区内无垃圾、杂草。</w:t>
      </w:r>
    </w:p>
    <w:p w14:paraId="74DDAE87">
      <w:pPr>
        <w:pageBreakBefore w:val="0"/>
        <w:kinsoku/>
        <w:wordWrap/>
        <w:overflowPunct/>
        <w:topLinePunct w:val="0"/>
        <w:autoSpaceDN/>
        <w:bidi w:val="0"/>
        <w:adjustRightInd/>
        <w:snapToGrid/>
        <w:spacing w:line="360" w:lineRule="auto"/>
        <w:ind w:left="0" w:leftChars="0" w:firstLine="0" w:firstLineChars="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2"/>
          <w:sz w:val="28"/>
          <w:szCs w:val="28"/>
          <w:highlight w:val="none"/>
        </w:rPr>
        <w:t>（10）建立一树一档，有动态养护记录，历史资料齐全。</w:t>
      </w:r>
    </w:p>
    <w:p w14:paraId="7D2F0D0A">
      <w:pPr>
        <w:pageBreakBefore w:val="0"/>
        <w:kinsoku/>
        <w:wordWrap/>
        <w:overflowPunct/>
        <w:topLinePunct w:val="0"/>
        <w:autoSpaceDN/>
        <w:bidi w:val="0"/>
        <w:adjustRightInd/>
        <w:snapToGrid/>
        <w:spacing w:line="360" w:lineRule="auto"/>
        <w:ind w:left="0" w:leftChars="0" w:firstLine="0" w:firstLineChars="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四、范围</w:t>
      </w:r>
    </w:p>
    <w:p w14:paraId="60027BDC">
      <w:pPr>
        <w:pageBreakBefore w:val="0"/>
        <w:kinsoku/>
        <w:wordWrap/>
        <w:overflowPunct/>
        <w:topLinePunct w:val="0"/>
        <w:autoSpaceDN/>
        <w:bidi w:val="0"/>
        <w:adjustRightInd/>
        <w:snapToGrid/>
        <w:spacing w:line="360" w:lineRule="auto"/>
        <w:ind w:left="0" w:leftChars="0" w:firstLine="0" w:firstLineChars="0"/>
        <w:textAlignment w:val="auto"/>
        <w:rPr>
          <w:rFonts w:hint="eastAsia" w:ascii="宋体" w:hAnsi="宋体" w:eastAsia="宋体" w:cs="宋体"/>
          <w:b w:val="0"/>
          <w:bCs w:val="0"/>
          <w:color w:val="auto"/>
          <w:kern w:val="2"/>
          <w:sz w:val="28"/>
          <w:szCs w:val="28"/>
          <w:highlight w:val="none"/>
          <w:lang w:val="en-US" w:eastAsia="zh-CN"/>
        </w:rPr>
      </w:pPr>
      <w:r>
        <w:rPr>
          <w:rFonts w:hint="eastAsia" w:ascii="宋体" w:hAnsi="宋体" w:eastAsia="宋体" w:cs="宋体"/>
          <w:b w:val="0"/>
          <w:bCs w:val="0"/>
          <w:color w:val="auto"/>
          <w:kern w:val="2"/>
          <w:sz w:val="28"/>
          <w:szCs w:val="28"/>
          <w:highlight w:val="none"/>
          <w:lang w:val="en-US" w:eastAsia="zh-CN"/>
        </w:rPr>
        <w:t>1、主要道路保洁；</w:t>
      </w:r>
    </w:p>
    <w:p w14:paraId="22155697">
      <w:pPr>
        <w:pageBreakBefore w:val="0"/>
        <w:kinsoku/>
        <w:wordWrap/>
        <w:overflowPunct/>
        <w:topLinePunct w:val="0"/>
        <w:autoSpaceDN/>
        <w:bidi w:val="0"/>
        <w:adjustRightInd/>
        <w:snapToGrid/>
        <w:spacing w:line="360" w:lineRule="auto"/>
        <w:ind w:left="0" w:leftChars="0" w:firstLine="0" w:firstLineChars="0"/>
        <w:textAlignment w:val="auto"/>
        <w:rPr>
          <w:rFonts w:hint="eastAsia" w:ascii="宋体" w:hAnsi="宋体" w:eastAsia="宋体" w:cs="宋体"/>
          <w:b w:val="0"/>
          <w:bCs w:val="0"/>
          <w:color w:val="auto"/>
          <w:kern w:val="2"/>
          <w:sz w:val="28"/>
          <w:szCs w:val="28"/>
          <w:highlight w:val="none"/>
          <w:lang w:val="en-US" w:eastAsia="zh-CN"/>
        </w:rPr>
      </w:pPr>
      <w:r>
        <w:rPr>
          <w:rFonts w:hint="eastAsia" w:ascii="宋体" w:hAnsi="宋体" w:eastAsia="宋体" w:cs="宋体"/>
          <w:b w:val="0"/>
          <w:bCs w:val="0"/>
          <w:color w:val="auto"/>
          <w:kern w:val="2"/>
          <w:sz w:val="28"/>
          <w:szCs w:val="28"/>
          <w:highlight w:val="none"/>
          <w:lang w:val="en-US" w:eastAsia="zh-CN"/>
        </w:rPr>
        <w:t>2、次要道路保洁；</w:t>
      </w:r>
    </w:p>
    <w:p w14:paraId="7FCE33FB">
      <w:pPr>
        <w:pageBreakBefore w:val="0"/>
        <w:kinsoku/>
        <w:wordWrap/>
        <w:overflowPunct/>
        <w:topLinePunct w:val="0"/>
        <w:autoSpaceDN/>
        <w:bidi w:val="0"/>
        <w:adjustRightInd/>
        <w:snapToGrid/>
        <w:spacing w:line="360" w:lineRule="auto"/>
        <w:ind w:left="0" w:leftChars="0" w:firstLine="0" w:firstLineChars="0"/>
        <w:textAlignment w:val="auto"/>
        <w:rPr>
          <w:rFonts w:hint="eastAsia" w:ascii="宋体" w:hAnsi="宋体" w:eastAsia="宋体" w:cs="宋体"/>
          <w:b w:val="0"/>
          <w:bCs w:val="0"/>
          <w:color w:val="auto"/>
          <w:kern w:val="2"/>
          <w:sz w:val="28"/>
          <w:szCs w:val="28"/>
          <w:highlight w:val="none"/>
          <w:lang w:val="en-US" w:eastAsia="zh-CN"/>
        </w:rPr>
      </w:pPr>
      <w:r>
        <w:rPr>
          <w:rFonts w:hint="eastAsia" w:ascii="宋体" w:hAnsi="宋体" w:eastAsia="宋体" w:cs="宋体"/>
          <w:b w:val="0"/>
          <w:bCs w:val="0"/>
          <w:color w:val="auto"/>
          <w:kern w:val="2"/>
          <w:sz w:val="28"/>
          <w:szCs w:val="28"/>
          <w:highlight w:val="none"/>
          <w:lang w:val="en-US" w:eastAsia="zh-CN"/>
        </w:rPr>
        <w:t>3、路侧空地保洁；</w:t>
      </w:r>
    </w:p>
    <w:p w14:paraId="34B31639">
      <w:pPr>
        <w:pageBreakBefore w:val="0"/>
        <w:widowControl w:val="0"/>
        <w:kinsoku/>
        <w:wordWrap/>
        <w:overflowPunct/>
        <w:topLinePunct w:val="0"/>
        <w:autoSpaceDN/>
        <w:bidi w:val="0"/>
        <w:adjustRightInd/>
        <w:snapToGrid/>
        <w:spacing w:line="360" w:lineRule="auto"/>
        <w:ind w:left="0" w:leftChars="0" w:firstLine="0" w:firstLineChars="0"/>
        <w:jc w:val="both"/>
        <w:textAlignment w:val="auto"/>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4、拆迁片区、管办、执法大队、八一新村等区域垃圾清运以及国控点雾炮降尘，</w:t>
      </w:r>
      <w:r>
        <w:rPr>
          <w:rFonts w:hint="eastAsia" w:ascii="宋体" w:hAnsi="宋体" w:eastAsia="宋体" w:cs="宋体"/>
          <w:b w:val="0"/>
          <w:bCs w:val="0"/>
          <w:color w:val="auto"/>
          <w:kern w:val="2"/>
          <w:sz w:val="28"/>
          <w:szCs w:val="28"/>
          <w:highlight w:val="none"/>
          <w:lang w:val="en-US" w:eastAsia="zh-CN" w:bidi="ar-SA"/>
        </w:rPr>
        <w:t>负责清运区域内零星偷倒的各类垃圾及渣土等；</w:t>
      </w:r>
    </w:p>
    <w:p w14:paraId="14D10394">
      <w:pPr>
        <w:pageBreakBefore w:val="0"/>
        <w:kinsoku/>
        <w:wordWrap/>
        <w:overflowPunct/>
        <w:topLinePunct w:val="0"/>
        <w:autoSpaceDN/>
        <w:bidi w:val="0"/>
        <w:adjustRightInd/>
        <w:snapToGrid/>
        <w:spacing w:line="360" w:lineRule="auto"/>
        <w:textAlignment w:val="auto"/>
        <w:rPr>
          <w:rFonts w:hint="eastAsia" w:ascii="宋体" w:hAnsi="宋体" w:eastAsia="宋体" w:cs="宋体"/>
          <w:b w:val="0"/>
          <w:bCs w:val="0"/>
          <w:color w:val="auto"/>
          <w:kern w:val="2"/>
          <w:sz w:val="28"/>
          <w:szCs w:val="28"/>
          <w:highlight w:val="none"/>
          <w:lang w:val="en-US" w:eastAsia="zh-CN"/>
        </w:rPr>
      </w:pPr>
      <w:r>
        <w:rPr>
          <w:rFonts w:hint="eastAsia" w:ascii="宋体" w:hAnsi="宋体" w:eastAsia="宋体" w:cs="宋体"/>
          <w:b w:val="0"/>
          <w:bCs w:val="0"/>
          <w:color w:val="auto"/>
          <w:kern w:val="2"/>
          <w:sz w:val="28"/>
          <w:szCs w:val="28"/>
          <w:highlight w:val="none"/>
          <w:lang w:val="en-US" w:eastAsia="zh-CN"/>
        </w:rPr>
        <w:t>5、绿地养护；</w:t>
      </w:r>
    </w:p>
    <w:p w14:paraId="7177B225">
      <w:pPr>
        <w:pageBreakBefore w:val="0"/>
        <w:kinsoku/>
        <w:wordWrap/>
        <w:overflowPunct/>
        <w:topLinePunct w:val="0"/>
        <w:autoSpaceDN/>
        <w:bidi w:val="0"/>
        <w:adjustRightInd/>
        <w:snapToGrid/>
        <w:spacing w:line="360" w:lineRule="auto"/>
        <w:textAlignment w:val="auto"/>
        <w:rPr>
          <w:rFonts w:hint="eastAsia" w:ascii="宋体" w:hAnsi="宋体" w:eastAsia="宋体" w:cs="宋体"/>
          <w:b w:val="0"/>
          <w:bCs w:val="0"/>
          <w:color w:val="auto"/>
          <w:kern w:val="2"/>
          <w:sz w:val="28"/>
          <w:szCs w:val="28"/>
          <w:highlight w:val="none"/>
          <w:lang w:val="en-US" w:eastAsia="zh-CN"/>
        </w:rPr>
      </w:pPr>
      <w:r>
        <w:rPr>
          <w:rFonts w:hint="eastAsia" w:ascii="宋体" w:hAnsi="宋体" w:eastAsia="宋体" w:cs="宋体"/>
          <w:b w:val="0"/>
          <w:bCs w:val="0"/>
          <w:color w:val="auto"/>
          <w:kern w:val="2"/>
          <w:sz w:val="28"/>
          <w:szCs w:val="28"/>
          <w:highlight w:val="none"/>
          <w:lang w:val="en-US" w:eastAsia="zh-CN"/>
        </w:rPr>
        <w:t>6、行道树养护；</w:t>
      </w:r>
    </w:p>
    <w:p w14:paraId="52721FCF">
      <w:pPr>
        <w:pStyle w:val="291"/>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五、付款方式：采购人每半年支付一次日常养护经费。供应商根据每期考核结果相对应的款项金额向采购人提供财务上认可的发票。逾期未提供的，采购人不承担因此造成的逾期付款责任。（考核细则详见附件）</w:t>
      </w:r>
    </w:p>
    <w:p w14:paraId="44B0B280">
      <w:pPr>
        <w:pStyle w:val="265"/>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default" w:ascii="宋体" w:hAnsi="宋体" w:eastAsia="宋体" w:cs="宋体"/>
          <w:color w:val="auto"/>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六、履约保证金：</w:t>
      </w:r>
      <w:r>
        <w:rPr>
          <w:rFonts w:hint="eastAsia" w:ascii="宋体" w:hAnsi="宋体" w:cs="宋体"/>
          <w:b w:val="0"/>
          <w:bCs w:val="0"/>
          <w:color w:val="auto"/>
          <w:kern w:val="2"/>
          <w:sz w:val="28"/>
          <w:szCs w:val="28"/>
          <w:highlight w:val="none"/>
          <w:lang w:val="en-US" w:eastAsia="zh-CN" w:bidi="ar-SA"/>
        </w:rPr>
        <w:t>无。</w:t>
      </w:r>
    </w:p>
    <w:p w14:paraId="1C4CCC3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lang w:val="en-US" w:bidi="ar-SA"/>
        </w:rPr>
      </w:pPr>
      <w:r>
        <w:rPr>
          <w:rFonts w:hint="eastAsia" w:ascii="宋体" w:hAnsi="宋体" w:eastAsia="宋体" w:cs="宋体"/>
          <w:color w:val="auto"/>
          <w:sz w:val="28"/>
          <w:szCs w:val="28"/>
          <w:highlight w:val="none"/>
          <w:lang w:val="en-US" w:eastAsia="zh-CN" w:bidi="ar-SA"/>
        </w:rPr>
        <w:br w:type="page"/>
      </w:r>
    </w:p>
    <w:p w14:paraId="50B3DA81">
      <w:pPr>
        <w:pStyle w:val="190"/>
        <w:pageBreakBefore w:val="0"/>
        <w:numPr>
          <w:ilvl w:val="0"/>
          <w:numId w:val="5"/>
        </w:numPr>
        <w:tabs>
          <w:tab w:val="left" w:pos="1363"/>
        </w:tabs>
        <w:kinsoku/>
        <w:wordWrap/>
        <w:overflowPunct/>
        <w:topLinePunct w:val="0"/>
        <w:autoSpaceDE/>
        <w:autoSpaceDN/>
        <w:bidi w:val="0"/>
        <w:adjustRightInd/>
        <w:snapToGrid/>
        <w:spacing w:line="360" w:lineRule="auto"/>
        <w:ind w:left="-420" w:right="567" w:firstLine="420"/>
        <w:jc w:val="center"/>
        <w:textAlignment w:val="auto"/>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合同主要条款及格式（合同范本）</w:t>
      </w:r>
    </w:p>
    <w:p w14:paraId="60A73BDC">
      <w:pPr>
        <w:pageBreakBefore w:val="0"/>
        <w:kinsoku/>
        <w:wordWrap/>
        <w:overflowPunct/>
        <w:topLinePunct w:val="0"/>
        <w:autoSpaceDE/>
        <w:autoSpaceDN/>
        <w:bidi w:val="0"/>
        <w:adjustRightInd/>
        <w:snapToGrid/>
        <w:spacing w:line="360" w:lineRule="auto"/>
        <w:ind w:right="567"/>
        <w:textAlignment w:val="auto"/>
        <w:rPr>
          <w:rFonts w:hint="eastAsia" w:ascii="宋体" w:hAnsi="宋体" w:eastAsia="宋体" w:cs="宋体"/>
          <w:color w:val="auto"/>
          <w:sz w:val="52"/>
          <w:szCs w:val="52"/>
          <w:highlight w:val="none"/>
        </w:rPr>
      </w:pPr>
    </w:p>
    <w:p w14:paraId="415D1B0E">
      <w:pPr>
        <w:pageBreakBefore w:val="0"/>
        <w:kinsoku/>
        <w:wordWrap/>
        <w:overflowPunct/>
        <w:topLinePunct w:val="0"/>
        <w:autoSpaceDE/>
        <w:autoSpaceDN/>
        <w:bidi w:val="0"/>
        <w:adjustRightInd/>
        <w:snapToGrid/>
        <w:spacing w:line="360" w:lineRule="auto"/>
        <w:ind w:left="210" w:right="567" w:firstLine="960"/>
        <w:jc w:val="center"/>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48"/>
          <w:szCs w:val="48"/>
          <w:highlight w:val="none"/>
        </w:rPr>
        <w:t>政府采购合同</w:t>
      </w:r>
    </w:p>
    <w:p w14:paraId="1BB2C90B">
      <w:pPr>
        <w:pageBreakBefore w:val="0"/>
        <w:kinsoku/>
        <w:wordWrap/>
        <w:overflowPunct/>
        <w:topLinePunct w:val="0"/>
        <w:autoSpaceDE/>
        <w:autoSpaceDN/>
        <w:bidi w:val="0"/>
        <w:adjustRightInd/>
        <w:snapToGrid/>
        <w:spacing w:line="360" w:lineRule="auto"/>
        <w:ind w:left="210" w:right="567" w:firstLine="640"/>
        <w:jc w:val="center"/>
        <w:textAlignment w:val="auto"/>
        <w:rPr>
          <w:rFonts w:hint="eastAsia" w:ascii="宋体" w:hAnsi="宋体" w:eastAsia="宋体" w:cs="宋体"/>
          <w:color w:val="auto"/>
          <w:sz w:val="32"/>
          <w:szCs w:val="32"/>
          <w:highlight w:val="none"/>
        </w:rPr>
      </w:pPr>
    </w:p>
    <w:p w14:paraId="00B87C46">
      <w:pPr>
        <w:pageBreakBefore w:val="0"/>
        <w:kinsoku/>
        <w:wordWrap/>
        <w:overflowPunct/>
        <w:topLinePunct w:val="0"/>
        <w:autoSpaceDE/>
        <w:autoSpaceDN/>
        <w:bidi w:val="0"/>
        <w:adjustRightInd/>
        <w:snapToGrid/>
        <w:spacing w:line="360" w:lineRule="auto"/>
        <w:ind w:left="210" w:right="567" w:firstLine="640"/>
        <w:jc w:val="center"/>
        <w:textAlignment w:val="auto"/>
        <w:rPr>
          <w:rFonts w:hint="eastAsia" w:ascii="宋体" w:hAnsi="宋体" w:eastAsia="宋体" w:cs="宋体"/>
          <w:color w:val="auto"/>
          <w:sz w:val="32"/>
          <w:szCs w:val="32"/>
          <w:highlight w:val="none"/>
        </w:rPr>
      </w:pPr>
    </w:p>
    <w:p w14:paraId="63052F91">
      <w:pPr>
        <w:pageBreakBefore w:val="0"/>
        <w:kinsoku/>
        <w:wordWrap/>
        <w:overflowPunct/>
        <w:topLinePunct w:val="0"/>
        <w:autoSpaceDE/>
        <w:autoSpaceDN/>
        <w:bidi w:val="0"/>
        <w:adjustRightInd/>
        <w:snapToGrid/>
        <w:spacing w:line="360" w:lineRule="auto"/>
        <w:ind w:right="567" w:firstLine="1285"/>
        <w:textAlignment w:val="auto"/>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rPr>
        <w:t>合同编号 ：</w:t>
      </w:r>
      <w:r>
        <w:rPr>
          <w:rFonts w:hint="eastAsia" w:ascii="宋体" w:hAnsi="宋体" w:eastAsia="宋体" w:cs="宋体"/>
          <w:b/>
          <w:color w:val="auto"/>
          <w:sz w:val="32"/>
          <w:szCs w:val="32"/>
          <w:highlight w:val="none"/>
          <w:u w:val="single"/>
        </w:rPr>
        <w:t xml:space="preserve">                        </w:t>
      </w:r>
    </w:p>
    <w:p w14:paraId="30D6B183">
      <w:pPr>
        <w:pageBreakBefore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18"/>
          <w:szCs w:val="22"/>
          <w:highlight w:val="none"/>
        </w:rPr>
      </w:pPr>
    </w:p>
    <w:p w14:paraId="06D1B3D2">
      <w:pPr>
        <w:pageBreakBefore w:val="0"/>
        <w:kinsoku/>
        <w:wordWrap/>
        <w:overflowPunct/>
        <w:topLinePunct w:val="0"/>
        <w:autoSpaceDE/>
        <w:autoSpaceDN/>
        <w:bidi w:val="0"/>
        <w:adjustRightInd/>
        <w:snapToGrid/>
        <w:spacing w:line="360" w:lineRule="auto"/>
        <w:ind w:right="567" w:firstLine="1285"/>
        <w:textAlignment w:val="auto"/>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rPr>
        <w:t>项目名称 ：</w:t>
      </w:r>
      <w:r>
        <w:rPr>
          <w:rFonts w:hint="eastAsia" w:ascii="宋体" w:hAnsi="宋体" w:eastAsia="宋体" w:cs="宋体"/>
          <w:b/>
          <w:color w:val="auto"/>
          <w:sz w:val="32"/>
          <w:szCs w:val="32"/>
          <w:highlight w:val="none"/>
          <w:u w:val="single"/>
        </w:rPr>
        <w:t xml:space="preserve">                        </w:t>
      </w:r>
    </w:p>
    <w:p w14:paraId="27720A0D">
      <w:pPr>
        <w:pageBreakBefore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18"/>
          <w:szCs w:val="22"/>
          <w:highlight w:val="none"/>
          <w:lang w:val="en-US" w:eastAsia="zh-CN"/>
        </w:rPr>
      </w:pPr>
      <w:r>
        <w:rPr>
          <w:rFonts w:hint="eastAsia" w:ascii="宋体" w:hAnsi="宋体" w:eastAsia="宋体" w:cs="宋体"/>
          <w:color w:val="auto"/>
          <w:sz w:val="18"/>
          <w:szCs w:val="22"/>
          <w:highlight w:val="none"/>
          <w:lang w:val="en-US" w:eastAsia="zh-CN"/>
        </w:rPr>
        <w:t xml:space="preserve"> </w:t>
      </w:r>
    </w:p>
    <w:p w14:paraId="6798518C">
      <w:pPr>
        <w:pageBreakBefore w:val="0"/>
        <w:kinsoku/>
        <w:wordWrap/>
        <w:overflowPunct/>
        <w:topLinePunct w:val="0"/>
        <w:autoSpaceDE/>
        <w:autoSpaceDN/>
        <w:bidi w:val="0"/>
        <w:adjustRightInd/>
        <w:snapToGrid/>
        <w:spacing w:line="360" w:lineRule="auto"/>
        <w:ind w:right="567" w:firstLine="1285"/>
        <w:textAlignment w:val="auto"/>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rPr>
        <w:t>使用单位 ：</w:t>
      </w:r>
      <w:r>
        <w:rPr>
          <w:rFonts w:hint="eastAsia" w:ascii="宋体" w:hAnsi="宋体" w:eastAsia="宋体" w:cs="宋体"/>
          <w:b/>
          <w:color w:val="auto"/>
          <w:sz w:val="32"/>
          <w:szCs w:val="32"/>
          <w:highlight w:val="none"/>
          <w:u w:val="single"/>
        </w:rPr>
        <w:t xml:space="preserve">                       </w:t>
      </w:r>
    </w:p>
    <w:p w14:paraId="71F3E6AC">
      <w:pPr>
        <w:pageBreakBefore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18"/>
          <w:szCs w:val="22"/>
          <w:highlight w:val="none"/>
        </w:rPr>
      </w:pPr>
      <w:r>
        <w:rPr>
          <w:rFonts w:hint="eastAsia" w:ascii="宋体" w:hAnsi="宋体" w:eastAsia="宋体" w:cs="宋体"/>
          <w:color w:val="auto"/>
          <w:sz w:val="18"/>
          <w:szCs w:val="22"/>
          <w:highlight w:val="none"/>
        </w:rPr>
        <w:t xml:space="preserve">  </w:t>
      </w:r>
    </w:p>
    <w:p w14:paraId="62B66A28">
      <w:pPr>
        <w:pageBreakBefore w:val="0"/>
        <w:kinsoku/>
        <w:wordWrap/>
        <w:overflowPunct/>
        <w:topLinePunct w:val="0"/>
        <w:autoSpaceDE/>
        <w:autoSpaceDN/>
        <w:bidi w:val="0"/>
        <w:adjustRightInd/>
        <w:snapToGrid/>
        <w:spacing w:line="360" w:lineRule="auto"/>
        <w:ind w:right="567" w:firstLine="1285"/>
        <w:textAlignment w:val="auto"/>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rPr>
        <w:t>服务单位 ：</w:t>
      </w:r>
      <w:r>
        <w:rPr>
          <w:rFonts w:hint="eastAsia" w:ascii="宋体" w:hAnsi="宋体" w:eastAsia="宋体" w:cs="宋体"/>
          <w:b/>
          <w:color w:val="auto"/>
          <w:sz w:val="32"/>
          <w:szCs w:val="32"/>
          <w:highlight w:val="none"/>
          <w:u w:val="single"/>
        </w:rPr>
        <w:t xml:space="preserve">                       </w:t>
      </w:r>
    </w:p>
    <w:p w14:paraId="66907EC5">
      <w:pPr>
        <w:pageBreakBefore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18"/>
          <w:szCs w:val="22"/>
          <w:highlight w:val="none"/>
        </w:rPr>
      </w:pPr>
    </w:p>
    <w:p w14:paraId="0CF12822">
      <w:pPr>
        <w:pageBreakBefore w:val="0"/>
        <w:kinsoku/>
        <w:wordWrap/>
        <w:overflowPunct/>
        <w:topLinePunct w:val="0"/>
        <w:autoSpaceDE/>
        <w:autoSpaceDN/>
        <w:bidi w:val="0"/>
        <w:adjustRightInd/>
        <w:snapToGrid/>
        <w:spacing w:line="360" w:lineRule="auto"/>
        <w:ind w:right="567" w:firstLine="1285"/>
        <w:textAlignment w:val="auto"/>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rPr>
        <w:t>签订日期 ：</w:t>
      </w:r>
      <w:r>
        <w:rPr>
          <w:rFonts w:hint="eastAsia" w:ascii="宋体" w:hAnsi="宋体" w:eastAsia="宋体" w:cs="宋体"/>
          <w:b/>
          <w:color w:val="auto"/>
          <w:sz w:val="32"/>
          <w:szCs w:val="32"/>
          <w:highlight w:val="none"/>
          <w:u w:val="single"/>
        </w:rPr>
        <w:t xml:space="preserve">                       </w:t>
      </w:r>
    </w:p>
    <w:p w14:paraId="71DC85C4">
      <w:pPr>
        <w:pageBreakBefore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highlight w:val="none"/>
        </w:rPr>
      </w:pPr>
    </w:p>
    <w:p w14:paraId="22CC26AB">
      <w:pPr>
        <w:pageBreakBefore w:val="0"/>
        <w:kinsoku/>
        <w:wordWrap/>
        <w:overflowPunct/>
        <w:topLinePunct w:val="0"/>
        <w:autoSpaceDE/>
        <w:autoSpaceDN/>
        <w:bidi w:val="0"/>
        <w:adjustRightInd/>
        <w:snapToGrid/>
        <w:spacing w:line="360" w:lineRule="auto"/>
        <w:ind w:left="210" w:right="567" w:firstLine="759"/>
        <w:jc w:val="center"/>
        <w:textAlignment w:val="auto"/>
        <w:rPr>
          <w:rFonts w:hint="eastAsia" w:ascii="宋体" w:hAnsi="宋体" w:eastAsia="宋体" w:cs="宋体"/>
          <w:b/>
          <w:color w:val="auto"/>
          <w:sz w:val="36"/>
          <w:szCs w:val="36"/>
          <w:highlight w:val="none"/>
        </w:rPr>
      </w:pPr>
    </w:p>
    <w:p w14:paraId="0C9C3B79">
      <w:pPr>
        <w:pageBreakBefore w:val="0"/>
        <w:kinsoku/>
        <w:wordWrap/>
        <w:overflowPunct/>
        <w:topLinePunct w:val="0"/>
        <w:autoSpaceDE/>
        <w:autoSpaceDN/>
        <w:bidi w:val="0"/>
        <w:adjustRightInd/>
        <w:snapToGrid/>
        <w:spacing w:line="360" w:lineRule="auto"/>
        <w:ind w:left="210" w:right="567" w:firstLine="759"/>
        <w:jc w:val="center"/>
        <w:textAlignment w:val="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南京市工商行政管理局</w:t>
      </w:r>
    </w:p>
    <w:p w14:paraId="40A96BA6">
      <w:pPr>
        <w:pStyle w:val="253"/>
        <w:pageBreakBefore w:val="0"/>
        <w:kinsoku/>
        <w:wordWrap/>
        <w:overflowPunct/>
        <w:topLinePunct w:val="0"/>
        <w:autoSpaceDE/>
        <w:autoSpaceDN/>
        <w:bidi w:val="0"/>
        <w:adjustRightInd/>
        <w:snapToGrid/>
        <w:spacing w:line="360" w:lineRule="auto"/>
        <w:ind w:firstLine="7019" w:firstLineChars="1942"/>
        <w:textAlignment w:val="auto"/>
        <w:rPr>
          <w:rFonts w:hint="eastAsia" w:ascii="宋体" w:hAnsi="宋体" w:eastAsia="宋体" w:cs="宋体"/>
          <w:color w:val="auto"/>
          <w:sz w:val="36"/>
          <w:szCs w:val="36"/>
          <w:highlight w:val="none"/>
        </w:rPr>
      </w:pPr>
      <w:r>
        <w:rPr>
          <w:rFonts w:hint="eastAsia" w:ascii="宋体" w:hAnsi="宋体" w:eastAsia="宋体" w:cs="宋体"/>
          <w:b/>
          <w:color w:val="auto"/>
          <w:sz w:val="36"/>
          <w:szCs w:val="36"/>
          <w:highlight w:val="none"/>
        </w:rPr>
        <w:t>监制</w:t>
      </w:r>
    </w:p>
    <w:p w14:paraId="60698AA4">
      <w:pPr>
        <w:pageBreakBefore w:val="0"/>
        <w:kinsoku/>
        <w:wordWrap/>
        <w:overflowPunct/>
        <w:topLinePunct w:val="0"/>
        <w:autoSpaceDE/>
        <w:autoSpaceDN/>
        <w:bidi w:val="0"/>
        <w:adjustRightInd/>
        <w:snapToGrid/>
        <w:spacing w:line="360" w:lineRule="auto"/>
        <w:ind w:left="210" w:right="567" w:firstLine="759"/>
        <w:jc w:val="center"/>
        <w:textAlignment w:val="auto"/>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南 京 市 财 政 局  </w:t>
      </w:r>
    </w:p>
    <w:p w14:paraId="056902AE">
      <w:pPr>
        <w:pageBreakBefore w:val="0"/>
        <w:kinsoku/>
        <w:wordWrap/>
        <w:overflowPunct/>
        <w:topLinePunct w:val="0"/>
        <w:autoSpaceDE/>
        <w:autoSpaceDN/>
        <w:bidi w:val="0"/>
        <w:adjustRightInd/>
        <w:snapToGrid/>
        <w:spacing w:line="360" w:lineRule="auto"/>
        <w:ind w:right="567"/>
        <w:textAlignment w:val="auto"/>
        <w:rPr>
          <w:rFonts w:hint="eastAsia" w:ascii="宋体" w:hAnsi="宋体" w:eastAsia="宋体" w:cs="宋体"/>
          <w:color w:val="auto"/>
          <w:highlight w:val="none"/>
        </w:rPr>
      </w:pPr>
    </w:p>
    <w:tbl>
      <w:tblPr>
        <w:tblStyle w:val="29"/>
        <w:tblW w:w="0" w:type="auto"/>
        <w:tblInd w:w="-108" w:type="dxa"/>
        <w:tblLayout w:type="fixed"/>
        <w:tblCellMar>
          <w:top w:w="0" w:type="dxa"/>
          <w:left w:w="0" w:type="dxa"/>
          <w:bottom w:w="0" w:type="dxa"/>
          <w:right w:w="0" w:type="dxa"/>
        </w:tblCellMar>
      </w:tblPr>
      <w:tblGrid>
        <w:gridCol w:w="4643"/>
        <w:gridCol w:w="4643"/>
      </w:tblGrid>
      <w:tr w14:paraId="5E7F46D4">
        <w:tblPrEx>
          <w:tblCellMar>
            <w:top w:w="0" w:type="dxa"/>
            <w:left w:w="0" w:type="dxa"/>
            <w:bottom w:w="0" w:type="dxa"/>
            <w:right w:w="0" w:type="dxa"/>
          </w:tblCellMar>
        </w:tblPrEx>
        <w:tc>
          <w:tcPr>
            <w:tcW w:w="4643" w:type="dxa"/>
            <w:tcBorders>
              <w:top w:val="nil"/>
              <w:left w:val="nil"/>
              <w:bottom w:val="nil"/>
              <w:right w:val="nil"/>
            </w:tcBorders>
            <w:noWrap/>
            <w:vAlign w:val="top"/>
          </w:tcPr>
          <w:p w14:paraId="50FDD132">
            <w:pPr>
              <w:pageBreakBefore w:val="0"/>
              <w:kinsoku/>
              <w:wordWrap/>
              <w:overflowPunct/>
              <w:topLinePunct w:val="0"/>
              <w:autoSpaceDE/>
              <w:autoSpaceDN/>
              <w:bidi w:val="0"/>
              <w:adjustRightInd/>
              <w:snapToGrid/>
              <w:spacing w:line="360" w:lineRule="auto"/>
              <w:ind w:firstLine="480"/>
              <w:textAlignment w:val="auto"/>
              <w:rPr>
                <w:rStyle w:val="245"/>
                <w:rFonts w:hint="eastAsia" w:ascii="宋体" w:hAnsi="宋体" w:eastAsia="宋体" w:cs="宋体"/>
                <w:color w:val="auto"/>
                <w:sz w:val="28"/>
                <w:szCs w:val="28"/>
                <w:highlight w:val="none"/>
              </w:rPr>
            </w:pPr>
            <w:r>
              <w:rPr>
                <w:rStyle w:val="245"/>
                <w:rFonts w:hint="eastAsia" w:ascii="宋体" w:hAnsi="宋体" w:eastAsia="宋体" w:cs="宋体"/>
                <w:color w:val="auto"/>
                <w:sz w:val="28"/>
                <w:szCs w:val="28"/>
                <w:highlight w:val="none"/>
              </w:rPr>
              <w:t>采购人（以下称甲方）</w:t>
            </w:r>
          </w:p>
        </w:tc>
        <w:tc>
          <w:tcPr>
            <w:tcW w:w="4643" w:type="dxa"/>
            <w:tcBorders>
              <w:top w:val="nil"/>
              <w:left w:val="nil"/>
              <w:bottom w:val="nil"/>
              <w:right w:val="nil"/>
            </w:tcBorders>
            <w:noWrap/>
            <w:vAlign w:val="top"/>
          </w:tcPr>
          <w:p w14:paraId="1E22373E">
            <w:pPr>
              <w:pageBreakBefore w:val="0"/>
              <w:kinsoku/>
              <w:wordWrap/>
              <w:overflowPunct/>
              <w:topLinePunct w:val="0"/>
              <w:autoSpaceDE/>
              <w:autoSpaceDN/>
              <w:bidi w:val="0"/>
              <w:adjustRightInd/>
              <w:snapToGrid/>
              <w:spacing w:line="360" w:lineRule="auto"/>
              <w:ind w:firstLine="480"/>
              <w:textAlignment w:val="auto"/>
              <w:rPr>
                <w:rStyle w:val="245"/>
                <w:rFonts w:hint="eastAsia" w:ascii="宋体" w:hAnsi="宋体" w:eastAsia="宋体" w:cs="宋体"/>
                <w:color w:val="auto"/>
                <w:sz w:val="28"/>
                <w:szCs w:val="28"/>
                <w:highlight w:val="none"/>
              </w:rPr>
            </w:pPr>
            <w:r>
              <w:rPr>
                <w:rStyle w:val="245"/>
                <w:rFonts w:hint="eastAsia" w:ascii="宋体" w:hAnsi="宋体" w:eastAsia="宋体" w:cs="宋体"/>
                <w:color w:val="auto"/>
                <w:sz w:val="28"/>
                <w:szCs w:val="28"/>
                <w:highlight w:val="none"/>
              </w:rPr>
              <w:t>供应商：（以下称乙方）</w:t>
            </w:r>
          </w:p>
        </w:tc>
      </w:tr>
      <w:tr w14:paraId="5586E5B4">
        <w:tblPrEx>
          <w:tblCellMar>
            <w:top w:w="0" w:type="dxa"/>
            <w:left w:w="0" w:type="dxa"/>
            <w:bottom w:w="0" w:type="dxa"/>
            <w:right w:w="0" w:type="dxa"/>
          </w:tblCellMar>
        </w:tblPrEx>
        <w:tc>
          <w:tcPr>
            <w:tcW w:w="4643" w:type="dxa"/>
            <w:tcBorders>
              <w:top w:val="nil"/>
              <w:left w:val="nil"/>
              <w:bottom w:val="nil"/>
              <w:right w:val="nil"/>
            </w:tcBorders>
            <w:noWrap/>
            <w:vAlign w:val="top"/>
          </w:tcPr>
          <w:p w14:paraId="7AF8BF80">
            <w:pPr>
              <w:pageBreakBefore w:val="0"/>
              <w:kinsoku/>
              <w:wordWrap/>
              <w:overflowPunct/>
              <w:topLinePunct w:val="0"/>
              <w:autoSpaceDE/>
              <w:autoSpaceDN/>
              <w:bidi w:val="0"/>
              <w:adjustRightInd/>
              <w:snapToGrid/>
              <w:spacing w:line="360" w:lineRule="auto"/>
              <w:ind w:firstLine="480"/>
              <w:textAlignment w:val="auto"/>
              <w:rPr>
                <w:rStyle w:val="245"/>
                <w:rFonts w:hint="eastAsia" w:ascii="宋体" w:hAnsi="宋体" w:eastAsia="宋体" w:cs="宋体"/>
                <w:color w:val="auto"/>
                <w:sz w:val="28"/>
                <w:szCs w:val="28"/>
                <w:highlight w:val="none"/>
              </w:rPr>
            </w:pPr>
            <w:r>
              <w:rPr>
                <w:rStyle w:val="245"/>
                <w:rFonts w:hint="eastAsia" w:ascii="宋体" w:hAnsi="宋体" w:eastAsia="宋体" w:cs="宋体"/>
                <w:color w:val="auto"/>
                <w:sz w:val="28"/>
                <w:szCs w:val="28"/>
                <w:highlight w:val="none"/>
              </w:rPr>
              <w:t xml:space="preserve"> 住所地</w:t>
            </w:r>
          </w:p>
        </w:tc>
        <w:tc>
          <w:tcPr>
            <w:tcW w:w="4643" w:type="dxa"/>
            <w:tcBorders>
              <w:top w:val="nil"/>
              <w:left w:val="nil"/>
              <w:bottom w:val="nil"/>
              <w:right w:val="nil"/>
            </w:tcBorders>
            <w:noWrap/>
            <w:vAlign w:val="top"/>
          </w:tcPr>
          <w:p w14:paraId="24A16FC9">
            <w:pPr>
              <w:pageBreakBefore w:val="0"/>
              <w:kinsoku/>
              <w:wordWrap/>
              <w:overflowPunct/>
              <w:topLinePunct w:val="0"/>
              <w:autoSpaceDE/>
              <w:autoSpaceDN/>
              <w:bidi w:val="0"/>
              <w:adjustRightInd/>
              <w:snapToGrid/>
              <w:spacing w:line="360" w:lineRule="auto"/>
              <w:ind w:firstLine="480"/>
              <w:textAlignment w:val="auto"/>
              <w:rPr>
                <w:rStyle w:val="245"/>
                <w:rFonts w:hint="eastAsia" w:ascii="宋体" w:hAnsi="宋体" w:eastAsia="宋体" w:cs="宋体"/>
                <w:color w:val="auto"/>
                <w:sz w:val="28"/>
                <w:szCs w:val="28"/>
                <w:highlight w:val="none"/>
              </w:rPr>
            </w:pPr>
            <w:r>
              <w:rPr>
                <w:rStyle w:val="245"/>
                <w:rFonts w:hint="eastAsia" w:ascii="宋体" w:hAnsi="宋体" w:eastAsia="宋体" w:cs="宋体"/>
                <w:color w:val="auto"/>
                <w:sz w:val="28"/>
                <w:szCs w:val="28"/>
                <w:highlight w:val="none"/>
              </w:rPr>
              <w:t>住所地</w:t>
            </w:r>
          </w:p>
        </w:tc>
      </w:tr>
    </w:tbl>
    <w:p w14:paraId="633DB0E7">
      <w:pPr>
        <w:keepNext w:val="0"/>
        <w:keepLines w:val="0"/>
        <w:pageBreakBefore w:val="0"/>
        <w:kinsoku/>
        <w:wordWrap/>
        <w:overflowPunct/>
        <w:topLinePunct w:val="0"/>
        <w:autoSpaceDE/>
        <w:autoSpaceDN/>
        <w:bidi w:val="0"/>
        <w:adjustRightInd/>
        <w:snapToGrid/>
        <w:spacing w:line="360" w:lineRule="auto"/>
        <w:ind w:firstLine="480"/>
        <w:textAlignment w:val="auto"/>
        <w:rPr>
          <w:rStyle w:val="245"/>
          <w:rFonts w:hint="eastAsia" w:ascii="宋体" w:hAnsi="宋体" w:eastAsia="宋体" w:cs="宋体"/>
          <w:color w:val="auto"/>
          <w:sz w:val="28"/>
          <w:szCs w:val="28"/>
          <w:highlight w:val="none"/>
        </w:rPr>
      </w:pPr>
      <w:r>
        <w:rPr>
          <w:rStyle w:val="245"/>
          <w:rFonts w:hint="eastAsia" w:ascii="宋体" w:hAnsi="宋体" w:eastAsia="宋体" w:cs="宋体"/>
          <w:color w:val="auto"/>
          <w:sz w:val="28"/>
          <w:szCs w:val="28"/>
          <w:highlight w:val="none"/>
        </w:rPr>
        <w:t>根据《中华人民共和国政府采购法》、《中华人民共和国政府采购法实施条例》及《中华人民共和国民法典》等法律法规的规定，甲乙双方签订本合同。</w:t>
      </w:r>
    </w:p>
    <w:p w14:paraId="58D6D563">
      <w:pPr>
        <w:keepNext w:val="0"/>
        <w:keepLines w:val="0"/>
        <w:pageBreakBefore w:val="0"/>
        <w:widowControl w:val="0"/>
        <w:kinsoku/>
        <w:wordWrap/>
        <w:overflowPunct/>
        <w:topLinePunct w:val="0"/>
        <w:autoSpaceDE/>
        <w:autoSpaceDN/>
        <w:bidi w:val="0"/>
        <w:adjustRightInd/>
        <w:snapToGrid/>
        <w:spacing w:line="360" w:lineRule="auto"/>
        <w:ind w:left="279" w:leftChars="133" w:firstLine="141" w:firstLineChars="50"/>
        <w:textAlignment w:val="auto"/>
        <w:rPr>
          <w:rStyle w:val="245"/>
          <w:rFonts w:hint="eastAsia" w:ascii="宋体" w:hAnsi="宋体" w:eastAsia="宋体" w:cs="宋体"/>
          <w:color w:val="auto"/>
          <w:sz w:val="28"/>
          <w:szCs w:val="28"/>
          <w:highlight w:val="none"/>
        </w:rPr>
      </w:pPr>
      <w:r>
        <w:rPr>
          <w:rStyle w:val="245"/>
          <w:rFonts w:hint="eastAsia" w:ascii="宋体" w:hAnsi="宋体" w:eastAsia="宋体" w:cs="宋体"/>
          <w:b/>
          <w:bCs/>
          <w:color w:val="auto"/>
          <w:sz w:val="28"/>
          <w:szCs w:val="28"/>
          <w:highlight w:val="none"/>
        </w:rPr>
        <w:t xml:space="preserve">第一条合同标的 </w:t>
      </w:r>
      <w:r>
        <w:rPr>
          <w:rStyle w:val="245"/>
          <w:rFonts w:hint="eastAsia" w:ascii="宋体" w:hAnsi="宋体" w:eastAsia="宋体" w:cs="宋体"/>
          <w:b/>
          <w:bCs/>
          <w:color w:val="auto"/>
          <w:sz w:val="28"/>
          <w:szCs w:val="28"/>
          <w:highlight w:val="none"/>
          <w:lang w:val="en-US" w:eastAsia="zh-CN"/>
        </w:rPr>
        <w:t xml:space="preserve"> </w:t>
      </w:r>
      <w:r>
        <w:rPr>
          <w:rStyle w:val="245"/>
          <w:rFonts w:hint="eastAsia" w:ascii="宋体" w:hAnsi="宋体" w:eastAsia="宋体" w:cs="宋体"/>
          <w:b w:val="0"/>
          <w:bCs w:val="0"/>
          <w:color w:val="auto"/>
          <w:sz w:val="28"/>
          <w:szCs w:val="28"/>
          <w:highlight w:val="none"/>
          <w:lang w:val="en-US" w:eastAsia="zh-CN"/>
        </w:rPr>
        <w:t>度假区公共区域环卫保洁和绿化管养服务</w:t>
      </w:r>
      <w:r>
        <w:rPr>
          <w:rStyle w:val="245"/>
          <w:rFonts w:hint="eastAsia" w:ascii="宋体" w:hAnsi="宋体" w:eastAsia="宋体" w:cs="宋体"/>
          <w:b w:val="0"/>
          <w:bCs w:val="0"/>
          <w:color w:val="auto"/>
          <w:sz w:val="28"/>
          <w:szCs w:val="28"/>
          <w:highlight w:val="none"/>
          <w:u w:val="single"/>
          <w:lang w:val="en-US" w:eastAsia="zh-CN"/>
        </w:rPr>
        <w:t>（项目编号）</w:t>
      </w:r>
      <w:r>
        <w:rPr>
          <w:rStyle w:val="245"/>
          <w:rFonts w:hint="eastAsia" w:ascii="宋体" w:hAnsi="宋体" w:eastAsia="宋体" w:cs="宋体"/>
          <w:b w:val="0"/>
          <w:bCs w:val="0"/>
          <w:color w:val="auto"/>
          <w:sz w:val="28"/>
          <w:szCs w:val="28"/>
          <w:highlight w:val="none"/>
          <w:u w:val="none"/>
          <w:lang w:val="en-US" w:eastAsia="zh-CN"/>
        </w:rPr>
        <w:t>，</w:t>
      </w:r>
      <w:r>
        <w:rPr>
          <w:rStyle w:val="245"/>
          <w:rFonts w:hint="eastAsia" w:ascii="宋体" w:hAnsi="宋体" w:eastAsia="宋体" w:cs="宋体"/>
          <w:color w:val="auto"/>
          <w:sz w:val="28"/>
          <w:szCs w:val="28"/>
          <w:highlight w:val="none"/>
        </w:rPr>
        <w:t>乙方根据甲方需求提供</w:t>
      </w:r>
      <w:r>
        <w:rPr>
          <w:rStyle w:val="245"/>
          <w:rFonts w:hint="eastAsia" w:ascii="宋体" w:hAnsi="宋体" w:eastAsia="宋体" w:cs="宋体"/>
          <w:color w:val="auto"/>
          <w:sz w:val="28"/>
          <w:szCs w:val="28"/>
          <w:highlight w:val="none"/>
          <w:lang w:val="en-US" w:eastAsia="zh-CN"/>
        </w:rPr>
        <w:t>绿化管养等</w:t>
      </w:r>
      <w:r>
        <w:rPr>
          <w:rStyle w:val="245"/>
          <w:rFonts w:hint="eastAsia" w:ascii="宋体" w:hAnsi="宋体" w:eastAsia="宋体" w:cs="宋体"/>
          <w:color w:val="auto"/>
          <w:sz w:val="28"/>
          <w:szCs w:val="28"/>
          <w:highlight w:val="none"/>
        </w:rPr>
        <w:t>服务</w:t>
      </w:r>
      <w:r>
        <w:rPr>
          <w:rStyle w:val="245"/>
          <w:rFonts w:hint="eastAsia" w:ascii="宋体" w:hAnsi="宋体" w:eastAsia="宋体" w:cs="宋体"/>
          <w:color w:val="auto"/>
          <w:sz w:val="28"/>
          <w:szCs w:val="28"/>
          <w:highlight w:val="none"/>
          <w:lang w:eastAsia="zh-CN"/>
        </w:rPr>
        <w:t>，</w:t>
      </w:r>
      <w:r>
        <w:rPr>
          <w:rStyle w:val="245"/>
          <w:rFonts w:hint="eastAsia" w:ascii="宋体" w:hAnsi="宋体" w:eastAsia="宋体" w:cs="宋体"/>
          <w:color w:val="auto"/>
          <w:sz w:val="28"/>
          <w:szCs w:val="28"/>
          <w:highlight w:val="none"/>
          <w:lang w:val="en-US" w:eastAsia="zh-CN"/>
        </w:rPr>
        <w:t>服务范围主要包括</w:t>
      </w:r>
      <w:r>
        <w:rPr>
          <w:rStyle w:val="245"/>
          <w:rFonts w:hint="eastAsia" w:ascii="宋体" w:hAnsi="宋体" w:cs="宋体"/>
          <w:color w:val="auto"/>
          <w:sz w:val="28"/>
          <w:szCs w:val="28"/>
          <w:highlight w:val="none"/>
          <w:lang w:val="en-US" w:eastAsia="zh-CN"/>
        </w:rPr>
        <w:t>：</w:t>
      </w:r>
      <w:r>
        <w:rPr>
          <w:rFonts w:hint="eastAsia" w:ascii="宋体" w:hAnsi="宋体" w:cs="宋体"/>
          <w:color w:val="auto"/>
          <w:kern w:val="2"/>
          <w:sz w:val="28"/>
          <w:szCs w:val="28"/>
          <w:highlight w:val="none"/>
          <w:lang w:eastAsia="zh-CN"/>
        </w:rPr>
        <w:t>度假区公共区域环卫保洁和绿化管养服务</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对</w:t>
      </w:r>
      <w:r>
        <w:rPr>
          <w:rFonts w:hint="eastAsia" w:ascii="宋体" w:hAnsi="宋体" w:eastAsia="宋体" w:cs="宋体"/>
          <w:color w:val="auto"/>
          <w:kern w:val="2"/>
          <w:sz w:val="28"/>
          <w:szCs w:val="28"/>
          <w:highlight w:val="none"/>
          <w:lang w:eastAsia="zh-CN"/>
        </w:rPr>
        <w:t>龙谷路、营盘山路、云出路、十三号路、</w:t>
      </w:r>
      <w:r>
        <w:rPr>
          <w:rFonts w:hint="eastAsia" w:ascii="宋体" w:hAnsi="宋体" w:eastAsia="宋体" w:cs="宋体"/>
          <w:color w:val="auto"/>
          <w:kern w:val="2"/>
          <w:sz w:val="28"/>
          <w:szCs w:val="28"/>
          <w:highlight w:val="none"/>
          <w:lang w:val="en-US" w:eastAsia="zh-CN"/>
        </w:rPr>
        <w:t>名佛路、珍佛路、佛展路、浦合路人行道、进山野道</w:t>
      </w:r>
      <w:r>
        <w:rPr>
          <w:rFonts w:hint="eastAsia" w:ascii="宋体" w:hAnsi="宋体" w:eastAsia="宋体" w:cs="宋体"/>
          <w:color w:val="auto"/>
          <w:kern w:val="2"/>
          <w:sz w:val="28"/>
          <w:szCs w:val="28"/>
          <w:highlight w:val="none"/>
          <w:lang w:eastAsia="zh-CN"/>
        </w:rPr>
        <w:t>等道路以及道路两侧可视范围绿地空地</w:t>
      </w:r>
      <w:r>
        <w:rPr>
          <w:rFonts w:hint="eastAsia" w:ascii="宋体" w:hAnsi="宋体" w:eastAsia="宋体" w:cs="宋体"/>
          <w:color w:val="auto"/>
          <w:kern w:val="2"/>
          <w:sz w:val="28"/>
          <w:szCs w:val="28"/>
          <w:highlight w:val="none"/>
          <w:lang w:val="en-US" w:eastAsia="zh-CN"/>
        </w:rPr>
        <w:t>组织</w:t>
      </w:r>
      <w:r>
        <w:rPr>
          <w:rFonts w:hint="eastAsia" w:ascii="宋体" w:hAnsi="宋体" w:eastAsia="宋体" w:cs="宋体"/>
          <w:color w:val="auto"/>
          <w:kern w:val="2"/>
          <w:sz w:val="28"/>
          <w:szCs w:val="28"/>
          <w:highlight w:val="none"/>
          <w:lang w:eastAsia="zh-CN"/>
        </w:rPr>
        <w:t>保洁、拆迁片区、管办、执法大队、八一新村</w:t>
      </w:r>
      <w:r>
        <w:rPr>
          <w:rFonts w:hint="eastAsia" w:ascii="宋体" w:hAnsi="宋体" w:eastAsia="宋体" w:cs="宋体"/>
          <w:color w:val="auto"/>
          <w:kern w:val="2"/>
          <w:sz w:val="28"/>
          <w:szCs w:val="28"/>
          <w:highlight w:val="none"/>
          <w:lang w:val="en-US" w:eastAsia="zh-CN"/>
        </w:rPr>
        <w:t>等区域垃圾清运以及国控点雾炮降尘等</w:t>
      </w:r>
      <w:r>
        <w:rPr>
          <w:rFonts w:hint="eastAsia" w:ascii="宋体" w:hAnsi="宋体" w:eastAsia="宋体" w:cs="宋体"/>
          <w:color w:val="auto"/>
          <w:kern w:val="2"/>
          <w:sz w:val="28"/>
          <w:szCs w:val="28"/>
          <w:highlight w:val="none"/>
          <w:lang w:eastAsia="zh-CN"/>
        </w:rPr>
        <w:t>服务，</w:t>
      </w:r>
      <w:r>
        <w:rPr>
          <w:rFonts w:hint="eastAsia" w:ascii="宋体" w:hAnsi="宋体" w:eastAsia="宋体" w:cs="宋体"/>
          <w:color w:val="auto"/>
          <w:kern w:val="2"/>
          <w:sz w:val="28"/>
          <w:szCs w:val="28"/>
          <w:highlight w:val="none"/>
          <w:lang w:val="en-US" w:eastAsia="zh-CN"/>
        </w:rPr>
        <w:t>负责清运区域内零星偷倒的各类垃圾及渣土等；</w:t>
      </w:r>
      <w:r>
        <w:rPr>
          <w:rFonts w:hint="eastAsia" w:ascii="宋体" w:hAnsi="宋体" w:eastAsia="宋体" w:cs="宋体"/>
          <w:color w:val="auto"/>
          <w:kern w:val="2"/>
          <w:sz w:val="28"/>
          <w:szCs w:val="28"/>
          <w:highlight w:val="none"/>
          <w:lang w:val="en-US" w:eastAsia="zh-CN"/>
        </w:rPr>
        <w:t>包括主要道路约18.65万平米，次要道路约3.78万平米，路测绿地空地约17.32万平米。甲方指定的</w:t>
      </w:r>
      <w:r>
        <w:rPr>
          <w:rFonts w:hint="eastAsia" w:ascii="宋体" w:hAnsi="宋体" w:eastAsia="宋体" w:cs="宋体"/>
          <w:color w:val="auto"/>
          <w:kern w:val="2"/>
          <w:sz w:val="28"/>
          <w:szCs w:val="28"/>
          <w:highlight w:val="none"/>
          <w:lang w:eastAsia="zh-CN"/>
        </w:rPr>
        <w:t>度假区</w:t>
      </w:r>
      <w:r>
        <w:rPr>
          <w:rFonts w:hint="eastAsia" w:ascii="宋体" w:hAnsi="宋体" w:eastAsia="宋体" w:cs="宋体"/>
          <w:color w:val="auto"/>
          <w:kern w:val="2"/>
          <w:sz w:val="28"/>
          <w:szCs w:val="28"/>
          <w:highlight w:val="none"/>
          <w:lang w:val="en-US" w:eastAsia="zh-CN"/>
        </w:rPr>
        <w:t>公共区</w:t>
      </w:r>
      <w:r>
        <w:rPr>
          <w:rFonts w:hint="eastAsia" w:ascii="宋体" w:hAnsi="宋体" w:eastAsia="宋体" w:cs="宋体"/>
          <w:color w:val="auto"/>
          <w:kern w:val="2"/>
          <w:sz w:val="28"/>
          <w:szCs w:val="28"/>
          <w:highlight w:val="none"/>
          <w:lang w:eastAsia="zh-CN"/>
        </w:rPr>
        <w:t>管养范围内所有绿化，</w:t>
      </w:r>
      <w:r>
        <w:rPr>
          <w:rFonts w:hint="eastAsia" w:ascii="宋体" w:hAnsi="宋体" w:eastAsia="宋体" w:cs="宋体"/>
          <w:color w:val="auto"/>
          <w:kern w:val="2"/>
          <w:sz w:val="28"/>
          <w:szCs w:val="28"/>
          <w:highlight w:val="none"/>
          <w:lang w:val="en-US" w:eastAsia="zh-CN"/>
        </w:rPr>
        <w:t>主要为浦合路两侧、绿园路两侧以及龙之谷区域绿地和行道树等，包括绿地约26.82万平米，行道树约2297棵。包括但不限于上述范围内的道路以及道路两侧绿地、行道树开展专业化养护服务。具体详见第四章采购需求</w:t>
      </w:r>
      <w:r>
        <w:rPr>
          <w:rFonts w:hint="eastAsia" w:ascii="宋体" w:hAnsi="宋体" w:cs="宋体"/>
          <w:color w:val="auto"/>
          <w:kern w:val="2"/>
          <w:sz w:val="28"/>
          <w:szCs w:val="28"/>
          <w:highlight w:val="none"/>
          <w:lang w:val="en-US" w:eastAsia="zh-CN"/>
        </w:rPr>
        <w:t>及</w:t>
      </w:r>
      <w:r>
        <w:rPr>
          <w:rStyle w:val="245"/>
          <w:rFonts w:hint="eastAsia" w:ascii="宋体" w:hAnsi="宋体" w:eastAsia="宋体" w:cs="宋体"/>
          <w:color w:val="auto"/>
          <w:sz w:val="28"/>
          <w:szCs w:val="28"/>
          <w:highlight w:val="none"/>
        </w:rPr>
        <w:t>乙方响应文件。</w:t>
      </w:r>
    </w:p>
    <w:p w14:paraId="2F4C1795">
      <w:pPr>
        <w:pageBreakBefore w:val="0"/>
        <w:widowControl w:val="0"/>
        <w:kinsoku/>
        <w:wordWrap/>
        <w:overflowPunct/>
        <w:topLinePunct w:val="0"/>
        <w:autoSpaceDN/>
        <w:bidi w:val="0"/>
        <w:adjustRightInd/>
        <w:snapToGrid/>
        <w:spacing w:line="360" w:lineRule="auto"/>
        <w:ind w:firstLine="562" w:firstLineChars="200"/>
        <w:jc w:val="both"/>
        <w:rPr>
          <w:rFonts w:hint="eastAsia" w:ascii="Times New Roman" w:hAnsi="Times New Roman" w:eastAsia="宋体" w:cs="Times New Roman"/>
          <w:color w:val="auto"/>
          <w:kern w:val="2"/>
          <w:sz w:val="21"/>
          <w:szCs w:val="24"/>
          <w:highlight w:val="none"/>
          <w:lang w:val="en-US" w:eastAsia="zh-CN" w:bidi="ar-SA"/>
        </w:rPr>
      </w:pPr>
      <w:r>
        <w:rPr>
          <w:rFonts w:hint="eastAsia" w:ascii="宋体" w:hAnsi="宋体" w:eastAsia="宋体" w:cs="宋体"/>
          <w:b/>
          <w:bCs/>
          <w:color w:val="auto"/>
          <w:kern w:val="2"/>
          <w:sz w:val="28"/>
          <w:szCs w:val="28"/>
          <w:highlight w:val="none"/>
          <w:lang w:val="en-US" w:eastAsia="zh-CN" w:bidi="ar-SA"/>
        </w:rPr>
        <w:t>保洁和绿化管养作业过程中，服务单位作业直接造成的以及管养的行道树等其他绿化造成的第三方人员受伤和财产损失责任由服务单位承担，与甲方无关。</w:t>
      </w:r>
    </w:p>
    <w:p w14:paraId="67A80217">
      <w:pPr>
        <w:keepNext w:val="0"/>
        <w:keepLines w:val="0"/>
        <w:pageBreakBefore w:val="0"/>
        <w:kinsoku/>
        <w:wordWrap/>
        <w:overflowPunct/>
        <w:topLinePunct w:val="0"/>
        <w:autoSpaceDE/>
        <w:autoSpaceDN/>
        <w:bidi w:val="0"/>
        <w:adjustRightInd/>
        <w:snapToGrid/>
        <w:spacing w:line="360" w:lineRule="auto"/>
        <w:ind w:firstLine="482"/>
        <w:textAlignment w:val="auto"/>
        <w:rPr>
          <w:rStyle w:val="245"/>
          <w:rFonts w:hint="eastAsia" w:ascii="宋体" w:hAnsi="宋体" w:eastAsia="宋体" w:cs="宋体"/>
          <w:color w:val="auto"/>
          <w:sz w:val="28"/>
          <w:szCs w:val="28"/>
          <w:highlight w:val="none"/>
        </w:rPr>
      </w:pPr>
      <w:r>
        <w:rPr>
          <w:rStyle w:val="245"/>
          <w:rFonts w:hint="eastAsia" w:ascii="宋体" w:hAnsi="宋体" w:eastAsia="宋体" w:cs="宋体"/>
          <w:b/>
          <w:bCs/>
          <w:color w:val="auto"/>
          <w:sz w:val="28"/>
          <w:szCs w:val="28"/>
          <w:highlight w:val="none"/>
        </w:rPr>
        <w:t xml:space="preserve">第二条合同总价款  </w:t>
      </w:r>
      <w:r>
        <w:rPr>
          <w:rStyle w:val="245"/>
          <w:rFonts w:hint="eastAsia" w:ascii="宋体" w:hAnsi="宋体" w:eastAsia="宋体" w:cs="宋体"/>
          <w:color w:val="auto"/>
          <w:sz w:val="28"/>
          <w:szCs w:val="28"/>
          <w:highlight w:val="none"/>
        </w:rPr>
        <w:t>本合同项下项目总价款为___________</w:t>
      </w:r>
      <w:r>
        <w:rPr>
          <w:rStyle w:val="245"/>
          <w:rFonts w:hint="eastAsia" w:ascii="宋体" w:hAnsi="宋体" w:eastAsia="宋体" w:cs="宋体"/>
          <w:color w:val="auto"/>
          <w:sz w:val="28"/>
          <w:szCs w:val="28"/>
          <w:highlight w:val="none"/>
        </w:rPr>
        <w:t>（</w:t>
      </w:r>
      <w:r>
        <w:rPr>
          <w:rStyle w:val="245"/>
          <w:rFonts w:hint="eastAsia" w:ascii="宋体" w:hAnsi="宋体" w:cs="宋体"/>
          <w:color w:val="auto"/>
          <w:sz w:val="28"/>
          <w:szCs w:val="28"/>
          <w:highlight w:val="none"/>
          <w:lang w:val="en-US" w:eastAsia="zh-CN"/>
        </w:rPr>
        <w:t>小写、</w:t>
      </w:r>
      <w:r>
        <w:rPr>
          <w:rStyle w:val="245"/>
          <w:rFonts w:hint="eastAsia" w:ascii="宋体" w:hAnsi="宋体" w:eastAsia="宋体" w:cs="宋体"/>
          <w:color w:val="auto"/>
          <w:sz w:val="28"/>
          <w:szCs w:val="28"/>
          <w:highlight w:val="none"/>
        </w:rPr>
        <w:t>大写）人民币</w:t>
      </w:r>
      <w:r>
        <w:rPr>
          <w:rStyle w:val="245"/>
          <w:rFonts w:hint="eastAsia" w:ascii="宋体" w:hAnsi="宋体" w:eastAsia="宋体" w:cs="宋体"/>
          <w:color w:val="auto"/>
          <w:sz w:val="28"/>
          <w:szCs w:val="28"/>
          <w:highlight w:val="none"/>
        </w:rPr>
        <w:t>，分项价款在“</w:t>
      </w:r>
      <w:r>
        <w:rPr>
          <w:rStyle w:val="245"/>
          <w:rFonts w:hint="eastAsia" w:ascii="宋体" w:hAnsi="宋体" w:eastAsia="宋体" w:cs="宋体"/>
          <w:b/>
          <w:color w:val="auto"/>
          <w:sz w:val="28"/>
          <w:szCs w:val="28"/>
          <w:highlight w:val="none"/>
        </w:rPr>
        <w:t>分项报价及费用测算表</w:t>
      </w:r>
      <w:r>
        <w:rPr>
          <w:rStyle w:val="245"/>
          <w:rFonts w:hint="eastAsia" w:ascii="宋体" w:hAnsi="宋体" w:eastAsia="宋体" w:cs="宋体"/>
          <w:color w:val="auto"/>
          <w:sz w:val="28"/>
          <w:szCs w:val="28"/>
          <w:highlight w:val="none"/>
        </w:rPr>
        <w:t>”中有明确规定；</w:t>
      </w:r>
    </w:p>
    <w:p w14:paraId="2925F15E">
      <w:pPr>
        <w:keepNext w:val="0"/>
        <w:keepLines w:val="0"/>
        <w:pageBreakBefore w:val="0"/>
        <w:kinsoku/>
        <w:wordWrap/>
        <w:overflowPunct/>
        <w:topLinePunct w:val="0"/>
        <w:autoSpaceDE/>
        <w:autoSpaceDN/>
        <w:bidi w:val="0"/>
        <w:adjustRightInd/>
        <w:snapToGrid/>
        <w:spacing w:line="360" w:lineRule="auto"/>
        <w:ind w:firstLine="482"/>
        <w:textAlignment w:val="auto"/>
        <w:rPr>
          <w:rStyle w:val="245"/>
          <w:rFonts w:hint="eastAsia" w:ascii="宋体" w:hAnsi="宋体" w:eastAsia="宋体" w:cs="宋体"/>
          <w:b/>
          <w:color w:val="auto"/>
          <w:sz w:val="28"/>
          <w:szCs w:val="28"/>
          <w:highlight w:val="none"/>
        </w:rPr>
      </w:pPr>
      <w:r>
        <w:rPr>
          <w:rStyle w:val="245"/>
          <w:rFonts w:hint="eastAsia" w:ascii="宋体" w:hAnsi="宋体" w:eastAsia="宋体" w:cs="宋体"/>
          <w:b/>
          <w:color w:val="auto"/>
          <w:sz w:val="28"/>
          <w:szCs w:val="28"/>
          <w:highlight w:val="none"/>
        </w:rPr>
        <w:t>报价为全包交费用报价。最终投标报价应是本采购文件所包含确定的全部工作内容及本采购文件未说明但完成该项目必须包含的所有全包费用的价格体现</w:t>
      </w:r>
      <w:r>
        <w:rPr>
          <w:rStyle w:val="245"/>
          <w:rFonts w:hint="eastAsia" w:ascii="宋体" w:hAnsi="宋体" w:eastAsia="宋体" w:cs="宋体"/>
          <w:b/>
          <w:color w:val="auto"/>
          <w:spacing w:val="-2"/>
          <w:sz w:val="28"/>
          <w:szCs w:val="28"/>
          <w:highlight w:val="none"/>
        </w:rPr>
        <w:t>。</w:t>
      </w:r>
      <w:r>
        <w:rPr>
          <w:rStyle w:val="245"/>
          <w:rFonts w:hint="eastAsia" w:ascii="宋体" w:hAnsi="宋体" w:eastAsia="宋体" w:cs="宋体"/>
          <w:b/>
          <w:color w:val="auto"/>
          <w:sz w:val="28"/>
          <w:szCs w:val="28"/>
          <w:highlight w:val="none"/>
        </w:rPr>
        <w:t>投标最终报价应包含劳务、设备、管理、材料、运输装缷、保险、验收及验收合格之前保管的所有含税费用、支付给员工的工资和国家强制缴纳的各种社会保障资金等。投标供应商的任何错漏、优惠、竞争性报价不得作为减轻责任、减少服务、增加收费、降低质量的理由。</w:t>
      </w:r>
    </w:p>
    <w:p w14:paraId="00B8D97D">
      <w:pPr>
        <w:keepNext w:val="0"/>
        <w:keepLines w:val="0"/>
        <w:pageBreakBefore w:val="0"/>
        <w:kinsoku/>
        <w:wordWrap/>
        <w:overflowPunct/>
        <w:topLinePunct w:val="0"/>
        <w:autoSpaceDE/>
        <w:autoSpaceDN/>
        <w:bidi w:val="0"/>
        <w:adjustRightInd/>
        <w:snapToGrid/>
        <w:spacing w:line="360" w:lineRule="auto"/>
        <w:ind w:firstLine="480"/>
        <w:textAlignment w:val="auto"/>
        <w:rPr>
          <w:rStyle w:val="245"/>
          <w:rFonts w:hint="eastAsia" w:ascii="宋体" w:hAnsi="宋体" w:eastAsia="宋体" w:cs="宋体"/>
          <w:color w:val="auto"/>
          <w:sz w:val="28"/>
          <w:szCs w:val="28"/>
          <w:highlight w:val="none"/>
        </w:rPr>
      </w:pPr>
      <w:r>
        <w:rPr>
          <w:rStyle w:val="245"/>
          <w:rFonts w:hint="eastAsia" w:ascii="宋体" w:hAnsi="宋体" w:eastAsia="宋体" w:cs="宋体"/>
          <w:color w:val="auto"/>
          <w:sz w:val="28"/>
          <w:szCs w:val="28"/>
          <w:highlight w:val="none"/>
        </w:rPr>
        <w:t>本合同执行期间合同</w:t>
      </w:r>
      <w:r>
        <w:rPr>
          <w:rStyle w:val="245"/>
          <w:rFonts w:hint="eastAsia" w:ascii="宋体" w:hAnsi="宋体" w:cs="宋体"/>
          <w:color w:val="auto"/>
          <w:sz w:val="28"/>
          <w:szCs w:val="28"/>
          <w:highlight w:val="none"/>
          <w:lang w:val="en-US" w:eastAsia="zh-CN"/>
        </w:rPr>
        <w:t>价格按实结算，执行核减不核增原则</w:t>
      </w:r>
      <w:r>
        <w:rPr>
          <w:rStyle w:val="245"/>
          <w:rFonts w:hint="eastAsia" w:ascii="宋体" w:hAnsi="宋体" w:cs="宋体"/>
          <w:color w:val="auto"/>
          <w:sz w:val="28"/>
          <w:szCs w:val="28"/>
          <w:highlight w:val="none"/>
          <w:lang w:eastAsia="zh-CN"/>
        </w:rPr>
        <w:t>，</w:t>
      </w:r>
      <w:r>
        <w:rPr>
          <w:rStyle w:val="245"/>
          <w:rFonts w:hint="eastAsia" w:ascii="宋体" w:hAnsi="宋体" w:cs="宋体"/>
          <w:color w:val="auto"/>
          <w:sz w:val="28"/>
          <w:szCs w:val="28"/>
          <w:highlight w:val="none"/>
          <w:lang w:val="en-US" w:eastAsia="zh-CN"/>
        </w:rPr>
        <w:t>结算价不得超过中标合同价。</w:t>
      </w:r>
    </w:p>
    <w:p w14:paraId="5222D3FA">
      <w:pPr>
        <w:keepNext w:val="0"/>
        <w:keepLines w:val="0"/>
        <w:pageBreakBefore w:val="0"/>
        <w:kinsoku/>
        <w:wordWrap/>
        <w:overflowPunct/>
        <w:topLinePunct w:val="0"/>
        <w:autoSpaceDE/>
        <w:autoSpaceDN/>
        <w:bidi w:val="0"/>
        <w:adjustRightInd/>
        <w:snapToGrid/>
        <w:spacing w:line="360" w:lineRule="auto"/>
        <w:ind w:firstLine="482"/>
        <w:textAlignment w:val="auto"/>
        <w:rPr>
          <w:rStyle w:val="245"/>
          <w:rFonts w:hint="eastAsia" w:ascii="宋体" w:hAnsi="宋体" w:eastAsia="宋体" w:cs="宋体"/>
          <w:color w:val="auto"/>
          <w:sz w:val="28"/>
          <w:szCs w:val="28"/>
          <w:highlight w:val="none"/>
        </w:rPr>
      </w:pPr>
      <w:r>
        <w:rPr>
          <w:rStyle w:val="245"/>
          <w:rFonts w:hint="eastAsia" w:ascii="宋体" w:hAnsi="宋体" w:eastAsia="宋体" w:cs="宋体"/>
          <w:b/>
          <w:bCs/>
          <w:color w:val="auto"/>
          <w:sz w:val="28"/>
          <w:szCs w:val="28"/>
          <w:highlight w:val="none"/>
        </w:rPr>
        <w:t>第三条 组成本合同的有关文件</w:t>
      </w:r>
      <w:r>
        <w:rPr>
          <w:rStyle w:val="245"/>
          <w:rFonts w:hint="eastAsia" w:ascii="宋体" w:hAnsi="宋体" w:eastAsia="宋体" w:cs="宋体"/>
          <w:color w:val="auto"/>
          <w:sz w:val="28"/>
          <w:szCs w:val="28"/>
          <w:highlight w:val="none"/>
        </w:rPr>
        <w:t>下列关于</w:t>
      </w:r>
      <w:r>
        <w:rPr>
          <w:rStyle w:val="245"/>
          <w:rFonts w:hint="eastAsia" w:ascii="宋体" w:hAnsi="宋体" w:eastAsia="宋体" w:cs="宋体"/>
          <w:b/>
          <w:color w:val="auto"/>
          <w:sz w:val="28"/>
          <w:szCs w:val="28"/>
          <w:highlight w:val="none"/>
          <w:u w:val="single"/>
        </w:rPr>
        <w:t xml:space="preserve">  （项目编号：          ）</w:t>
      </w:r>
      <w:r>
        <w:rPr>
          <w:rStyle w:val="245"/>
          <w:rFonts w:hint="eastAsia" w:ascii="宋体" w:hAnsi="宋体" w:eastAsia="宋体" w:cs="宋体"/>
          <w:color w:val="auto"/>
          <w:sz w:val="28"/>
          <w:szCs w:val="28"/>
          <w:highlight w:val="none"/>
        </w:rPr>
        <w:t>的招标文件、供应商响应文件，或与本次采购活动方式相适应的文件，以及有关附件是本合同不可分割的组成部分，与本合同具有同等法律效力，这些文件包括但不限于：</w:t>
      </w:r>
    </w:p>
    <w:p w14:paraId="0EF8ED80">
      <w:pPr>
        <w:keepNext w:val="0"/>
        <w:keepLines w:val="0"/>
        <w:pageBreakBefore w:val="0"/>
        <w:kinsoku/>
        <w:wordWrap/>
        <w:overflowPunct/>
        <w:topLinePunct w:val="0"/>
        <w:autoSpaceDE/>
        <w:autoSpaceDN/>
        <w:bidi w:val="0"/>
        <w:adjustRightInd/>
        <w:snapToGrid/>
        <w:spacing w:line="360" w:lineRule="auto"/>
        <w:ind w:firstLine="480"/>
        <w:textAlignment w:val="auto"/>
        <w:rPr>
          <w:rStyle w:val="245"/>
          <w:rFonts w:hint="eastAsia" w:ascii="宋体" w:hAnsi="宋体" w:eastAsia="宋体" w:cs="宋体"/>
          <w:color w:val="auto"/>
          <w:sz w:val="28"/>
          <w:szCs w:val="28"/>
          <w:highlight w:val="none"/>
        </w:rPr>
      </w:pPr>
      <w:r>
        <w:rPr>
          <w:rStyle w:val="245"/>
          <w:rFonts w:hint="eastAsia" w:ascii="宋体" w:hAnsi="宋体" w:eastAsia="宋体" w:cs="宋体"/>
          <w:color w:val="auto"/>
          <w:sz w:val="28"/>
          <w:szCs w:val="28"/>
          <w:highlight w:val="none"/>
        </w:rPr>
        <w:t>（1）乙方提供的响应文件和报价表；</w:t>
      </w:r>
    </w:p>
    <w:p w14:paraId="4637C8C8">
      <w:pPr>
        <w:keepNext w:val="0"/>
        <w:keepLines w:val="0"/>
        <w:pageBreakBefore w:val="0"/>
        <w:kinsoku/>
        <w:wordWrap/>
        <w:overflowPunct/>
        <w:topLinePunct w:val="0"/>
        <w:autoSpaceDE/>
        <w:autoSpaceDN/>
        <w:bidi w:val="0"/>
        <w:adjustRightInd/>
        <w:snapToGrid/>
        <w:spacing w:line="360" w:lineRule="auto"/>
        <w:ind w:firstLine="480"/>
        <w:textAlignment w:val="auto"/>
        <w:rPr>
          <w:rStyle w:val="245"/>
          <w:rFonts w:hint="eastAsia" w:ascii="宋体" w:hAnsi="宋体" w:eastAsia="宋体" w:cs="宋体"/>
          <w:color w:val="auto"/>
          <w:sz w:val="28"/>
          <w:szCs w:val="28"/>
          <w:highlight w:val="none"/>
        </w:rPr>
      </w:pPr>
      <w:r>
        <w:rPr>
          <w:rStyle w:val="245"/>
          <w:rFonts w:hint="eastAsia" w:ascii="宋体" w:hAnsi="宋体" w:eastAsia="宋体" w:cs="宋体"/>
          <w:color w:val="auto"/>
          <w:sz w:val="28"/>
          <w:szCs w:val="28"/>
          <w:highlight w:val="none"/>
        </w:rPr>
        <w:t>（2）</w:t>
      </w:r>
      <w:r>
        <w:rPr>
          <w:rStyle w:val="245"/>
          <w:rFonts w:hint="eastAsia" w:ascii="宋体" w:hAnsi="宋体" w:eastAsia="宋体" w:cs="宋体"/>
          <w:color w:val="auto"/>
          <w:sz w:val="28"/>
          <w:szCs w:val="28"/>
          <w:highlight w:val="none"/>
        </w:rPr>
        <w:t>项目整体实施方案和质量保证体系；</w:t>
      </w:r>
    </w:p>
    <w:p w14:paraId="0C61D8AB">
      <w:pPr>
        <w:keepNext w:val="0"/>
        <w:keepLines w:val="0"/>
        <w:pageBreakBefore w:val="0"/>
        <w:kinsoku/>
        <w:wordWrap/>
        <w:overflowPunct/>
        <w:topLinePunct w:val="0"/>
        <w:autoSpaceDE/>
        <w:autoSpaceDN/>
        <w:bidi w:val="0"/>
        <w:adjustRightInd/>
        <w:snapToGrid/>
        <w:spacing w:line="360" w:lineRule="auto"/>
        <w:ind w:firstLine="480"/>
        <w:textAlignment w:val="auto"/>
        <w:rPr>
          <w:rStyle w:val="245"/>
          <w:rFonts w:hint="eastAsia" w:ascii="宋体" w:hAnsi="宋体" w:eastAsia="宋体" w:cs="宋体"/>
          <w:color w:val="auto"/>
          <w:sz w:val="28"/>
          <w:szCs w:val="28"/>
          <w:highlight w:val="none"/>
        </w:rPr>
      </w:pPr>
      <w:r>
        <w:rPr>
          <w:rStyle w:val="245"/>
          <w:rFonts w:hint="eastAsia" w:ascii="宋体" w:hAnsi="宋体" w:eastAsia="宋体" w:cs="宋体"/>
          <w:color w:val="auto"/>
          <w:sz w:val="28"/>
          <w:szCs w:val="28"/>
          <w:highlight w:val="none"/>
        </w:rPr>
        <w:t>（3）服务承诺；</w:t>
      </w:r>
    </w:p>
    <w:p w14:paraId="68066187">
      <w:pPr>
        <w:keepNext w:val="0"/>
        <w:keepLines w:val="0"/>
        <w:pageBreakBefore w:val="0"/>
        <w:kinsoku/>
        <w:wordWrap/>
        <w:overflowPunct/>
        <w:topLinePunct w:val="0"/>
        <w:autoSpaceDE/>
        <w:autoSpaceDN/>
        <w:bidi w:val="0"/>
        <w:adjustRightInd/>
        <w:snapToGrid/>
        <w:spacing w:line="360" w:lineRule="auto"/>
        <w:ind w:firstLine="480"/>
        <w:textAlignment w:val="auto"/>
        <w:rPr>
          <w:rStyle w:val="245"/>
          <w:rFonts w:hint="eastAsia" w:ascii="宋体" w:hAnsi="宋体" w:eastAsia="宋体" w:cs="宋体"/>
          <w:color w:val="auto"/>
          <w:sz w:val="28"/>
          <w:szCs w:val="28"/>
          <w:highlight w:val="none"/>
        </w:rPr>
      </w:pPr>
      <w:r>
        <w:rPr>
          <w:rStyle w:val="245"/>
          <w:rFonts w:hint="eastAsia" w:ascii="宋体" w:hAnsi="宋体" w:eastAsia="宋体" w:cs="宋体"/>
          <w:color w:val="auto"/>
          <w:sz w:val="28"/>
          <w:szCs w:val="28"/>
          <w:highlight w:val="none"/>
        </w:rPr>
        <w:t>（4）成交通知书；</w:t>
      </w:r>
    </w:p>
    <w:p w14:paraId="0BF8DADA">
      <w:pPr>
        <w:keepNext w:val="0"/>
        <w:keepLines w:val="0"/>
        <w:pageBreakBefore w:val="0"/>
        <w:kinsoku/>
        <w:wordWrap/>
        <w:overflowPunct/>
        <w:topLinePunct w:val="0"/>
        <w:autoSpaceDE/>
        <w:autoSpaceDN/>
        <w:bidi w:val="0"/>
        <w:adjustRightInd/>
        <w:snapToGrid/>
        <w:spacing w:line="360" w:lineRule="auto"/>
        <w:ind w:firstLine="480"/>
        <w:textAlignment w:val="auto"/>
        <w:rPr>
          <w:rStyle w:val="245"/>
          <w:rFonts w:hint="eastAsia" w:ascii="宋体" w:hAnsi="宋体" w:eastAsia="宋体" w:cs="宋体"/>
          <w:color w:val="auto"/>
          <w:sz w:val="28"/>
          <w:szCs w:val="28"/>
          <w:highlight w:val="none"/>
        </w:rPr>
      </w:pPr>
      <w:r>
        <w:rPr>
          <w:rStyle w:val="245"/>
          <w:rFonts w:hint="eastAsia" w:ascii="宋体" w:hAnsi="宋体" w:eastAsia="宋体" w:cs="宋体"/>
          <w:color w:val="auto"/>
          <w:sz w:val="28"/>
          <w:szCs w:val="28"/>
          <w:highlight w:val="none"/>
        </w:rPr>
        <w:t>（5）甲乙双方商定的其他文件等。</w:t>
      </w:r>
    </w:p>
    <w:p w14:paraId="70F1A41B">
      <w:pPr>
        <w:keepNext w:val="0"/>
        <w:keepLines w:val="0"/>
        <w:pageBreakBefore w:val="0"/>
        <w:kinsoku/>
        <w:wordWrap/>
        <w:overflowPunct/>
        <w:topLinePunct w:val="0"/>
        <w:autoSpaceDE/>
        <w:autoSpaceDN/>
        <w:bidi w:val="0"/>
        <w:adjustRightInd/>
        <w:snapToGrid/>
        <w:spacing w:line="360" w:lineRule="auto"/>
        <w:ind w:firstLine="482"/>
        <w:textAlignment w:val="auto"/>
        <w:rPr>
          <w:rStyle w:val="245"/>
          <w:rFonts w:hint="eastAsia" w:ascii="宋体" w:hAnsi="宋体" w:eastAsia="宋体" w:cs="宋体"/>
          <w:b/>
          <w:bCs/>
          <w:color w:val="auto"/>
          <w:sz w:val="28"/>
          <w:szCs w:val="28"/>
          <w:highlight w:val="none"/>
        </w:rPr>
      </w:pPr>
      <w:r>
        <w:rPr>
          <w:rStyle w:val="245"/>
          <w:rFonts w:hint="eastAsia" w:ascii="宋体" w:hAnsi="宋体" w:eastAsia="宋体" w:cs="宋体"/>
          <w:b/>
          <w:bCs/>
          <w:color w:val="auto"/>
          <w:sz w:val="28"/>
          <w:szCs w:val="28"/>
          <w:highlight w:val="none"/>
        </w:rPr>
        <w:t xml:space="preserve">第四条 </w:t>
      </w:r>
      <w:r>
        <w:rPr>
          <w:rStyle w:val="245"/>
          <w:rFonts w:hint="eastAsia" w:ascii="宋体" w:hAnsi="宋体" w:eastAsia="宋体" w:cs="宋体"/>
          <w:b/>
          <w:bCs/>
          <w:color w:val="auto"/>
          <w:sz w:val="28"/>
          <w:szCs w:val="28"/>
          <w:highlight w:val="none"/>
          <w:lang w:val="en-US" w:eastAsia="zh-CN"/>
        </w:rPr>
        <w:t>相关服务要求及考核依据</w:t>
      </w:r>
    </w:p>
    <w:p w14:paraId="2316CFAC">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1.服务标准和要求</w:t>
      </w:r>
    </w:p>
    <w:p w14:paraId="25C341EB">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执行《度假区</w:t>
      </w:r>
      <w:r>
        <w:rPr>
          <w:rFonts w:hint="eastAsia" w:ascii="宋体" w:hAnsi="宋体" w:eastAsia="宋体" w:cs="宋体"/>
          <w:color w:val="auto"/>
          <w:sz w:val="28"/>
          <w:szCs w:val="28"/>
          <w:highlight w:val="none"/>
          <w:lang w:eastAsia="zh-CN"/>
        </w:rPr>
        <w:t>道路</w:t>
      </w:r>
      <w:r>
        <w:rPr>
          <w:rFonts w:hint="eastAsia" w:ascii="宋体" w:hAnsi="宋体" w:eastAsia="宋体" w:cs="宋体"/>
          <w:color w:val="auto"/>
          <w:sz w:val="28"/>
          <w:szCs w:val="28"/>
          <w:highlight w:val="none"/>
          <w:lang w:val="en-US" w:eastAsia="zh-CN"/>
        </w:rPr>
        <w:t>保洁绿化养护精细化管理</w:t>
      </w:r>
      <w:r>
        <w:rPr>
          <w:rFonts w:hint="eastAsia" w:ascii="宋体" w:hAnsi="宋体" w:eastAsia="宋体" w:cs="宋体"/>
          <w:color w:val="auto"/>
          <w:sz w:val="28"/>
          <w:szCs w:val="28"/>
          <w:highlight w:val="none"/>
          <w:lang w:eastAsia="zh-CN"/>
        </w:rPr>
        <w:t>考核办法</w:t>
      </w:r>
      <w:r>
        <w:rPr>
          <w:rFonts w:hint="eastAsia" w:ascii="宋体" w:hAnsi="宋体" w:eastAsia="宋体" w:cs="宋体"/>
          <w:color w:val="auto"/>
          <w:sz w:val="28"/>
          <w:szCs w:val="28"/>
          <w:highlight w:val="none"/>
          <w:lang w:val="en-US" w:eastAsia="zh-CN"/>
        </w:rPr>
        <w:t>》、《园林绿化养护质量等级标准》。</w:t>
      </w:r>
    </w:p>
    <w:p w14:paraId="5D7334A3">
      <w:pPr>
        <w:keepNext w:val="0"/>
        <w:keepLines w:val="0"/>
        <w:pageBreakBefore w:val="0"/>
        <w:numPr>
          <w:ilvl w:val="0"/>
          <w:numId w:val="6"/>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lang w:val="en-US" w:eastAsia="zh-CN"/>
        </w:rPr>
      </w:pPr>
      <w:r>
        <w:rPr>
          <w:rStyle w:val="245"/>
          <w:rFonts w:hint="eastAsia" w:ascii="宋体" w:hAnsi="宋体" w:eastAsia="宋体" w:cs="宋体"/>
          <w:b w:val="0"/>
          <w:bCs w:val="0"/>
          <w:color w:val="auto"/>
          <w:sz w:val="28"/>
          <w:szCs w:val="28"/>
          <w:highlight w:val="none"/>
        </w:rPr>
        <w:t>项目服务周期：</w:t>
      </w:r>
      <w:r>
        <w:rPr>
          <w:rFonts w:hint="eastAsia" w:ascii="宋体" w:hAnsi="宋体" w:eastAsia="宋体" w:cs="宋体"/>
          <w:color w:val="auto"/>
          <w:sz w:val="28"/>
          <w:szCs w:val="28"/>
          <w:highlight w:val="none"/>
          <w:lang w:val="en-US" w:eastAsia="zh-CN"/>
        </w:rPr>
        <w:t>一年。</w:t>
      </w:r>
    </w:p>
    <w:p w14:paraId="14DA97C8">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w:t>
      </w:r>
      <w:r>
        <w:rPr>
          <w:rFonts w:hint="eastAsia" w:ascii="宋体" w:hAnsi="宋体" w:eastAsia="宋体" w:cs="宋体"/>
          <w:b/>
          <w:bCs/>
          <w:color w:val="auto"/>
          <w:sz w:val="28"/>
          <w:szCs w:val="28"/>
          <w:highlight w:val="none"/>
          <w:lang w:val="en-US" w:eastAsia="zh-CN"/>
        </w:rPr>
        <w:t>五</w:t>
      </w:r>
      <w:r>
        <w:rPr>
          <w:rFonts w:hint="eastAsia" w:ascii="宋体" w:hAnsi="宋体" w:eastAsia="宋体" w:cs="宋体"/>
          <w:b/>
          <w:bCs/>
          <w:color w:val="auto"/>
          <w:sz w:val="28"/>
          <w:szCs w:val="28"/>
          <w:highlight w:val="none"/>
        </w:rPr>
        <w:t>条 履约保证金</w:t>
      </w:r>
    </w:p>
    <w:p w14:paraId="42BD3585">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leftChars="0" w:right="-340" w:firstLine="0" w:firstLineChars="0"/>
        <w:jc w:val="left"/>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1.成交供应商应按以下第（</w:t>
      </w:r>
      <w:r>
        <w:rPr>
          <w:rFonts w:hint="eastAsia" w:ascii="宋体" w:hAnsi="宋体" w:cs="宋体"/>
          <w:color w:val="auto"/>
          <w:sz w:val="28"/>
          <w:szCs w:val="28"/>
          <w:highlight w:val="none"/>
          <w:lang w:val="en-US" w:eastAsia="zh-CN" w:bidi="ar-SA"/>
        </w:rPr>
        <w:t>1</w:t>
      </w:r>
      <w:r>
        <w:rPr>
          <w:rFonts w:hint="eastAsia" w:ascii="宋体" w:hAnsi="宋体" w:eastAsia="宋体" w:cs="宋体"/>
          <w:color w:val="auto"/>
          <w:sz w:val="28"/>
          <w:szCs w:val="28"/>
          <w:highlight w:val="none"/>
          <w:lang w:val="en-US" w:eastAsia="zh-CN" w:bidi="ar-SA"/>
        </w:rPr>
        <w:t>）方式向采购人缴纳履约保证金：</w:t>
      </w:r>
    </w:p>
    <w:p w14:paraId="2997F779">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leftChars="0" w:right="-340" w:firstLine="0" w:firstLineChars="0"/>
        <w:jc w:val="left"/>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（1）无需缴纳履约保证金；</w:t>
      </w:r>
    </w:p>
    <w:p w14:paraId="2B841CDD">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leftChars="0" w:right="-340" w:firstLine="0" w:firstLineChars="0"/>
        <w:jc w:val="left"/>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（2）谈判保证金转为履约保证金；</w:t>
      </w:r>
    </w:p>
    <w:p w14:paraId="11BAC40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（3）</w:t>
      </w:r>
      <w:r>
        <w:rPr>
          <w:rFonts w:hint="eastAsia" w:ascii="宋体" w:hAnsi="宋体" w:eastAsia="宋体" w:cs="宋体"/>
          <w:b w:val="0"/>
          <w:bCs w:val="0"/>
          <w:color w:val="auto"/>
          <w:kern w:val="2"/>
          <w:sz w:val="28"/>
          <w:szCs w:val="28"/>
          <w:highlight w:val="none"/>
          <w:lang w:val="en-US" w:eastAsia="zh-CN" w:bidi="ar-SA"/>
        </w:rPr>
        <w:t>履约保证金：供应商中标后，签订正式合同前需向采购人缴纳履约保证金</w:t>
      </w:r>
      <w:r>
        <w:rPr>
          <w:rFonts w:hint="eastAsia" w:ascii="宋体" w:hAnsi="宋体" w:eastAsia="宋体" w:cs="宋体"/>
          <w:color w:val="auto"/>
          <w:sz w:val="28"/>
          <w:szCs w:val="28"/>
          <w:highlight w:val="none"/>
          <w:lang w:val="en-US" w:bidi="ar-SA"/>
        </w:rPr>
        <w:t>。</w:t>
      </w:r>
    </w:p>
    <w:p w14:paraId="52A10F85">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leftChars="0" w:right="-340" w:firstLine="0" w:firstLineChars="0"/>
        <w:jc w:val="left"/>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2.履约保证金的有效期为该项目</w:t>
      </w:r>
      <w:r>
        <w:rPr>
          <w:rFonts w:hint="eastAsia" w:ascii="宋体" w:hAnsi="宋体" w:cs="宋体"/>
          <w:color w:val="auto"/>
          <w:sz w:val="28"/>
          <w:szCs w:val="28"/>
          <w:highlight w:val="none"/>
          <w:lang w:val="en-US" w:eastAsia="zh-CN" w:bidi="ar-SA"/>
        </w:rPr>
        <w:t>服务</w:t>
      </w:r>
      <w:r>
        <w:rPr>
          <w:rFonts w:hint="eastAsia" w:ascii="宋体" w:hAnsi="宋体" w:eastAsia="宋体" w:cs="宋体"/>
          <w:color w:val="auto"/>
          <w:sz w:val="28"/>
          <w:szCs w:val="28"/>
          <w:highlight w:val="none"/>
          <w:lang w:val="en-US" w:eastAsia="zh-CN" w:bidi="ar-SA"/>
        </w:rPr>
        <w:t>期满时止。</w:t>
      </w:r>
    </w:p>
    <w:p w14:paraId="562A3587">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leftChars="0" w:right="-340" w:firstLine="0" w:firstLineChars="0"/>
        <w:jc w:val="left"/>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3.如乙方未能履行合同规定的义务，甲方有权</w:t>
      </w:r>
      <w:r>
        <w:rPr>
          <w:rFonts w:hint="eastAsia" w:ascii="宋体" w:hAnsi="宋体" w:cs="宋体"/>
          <w:color w:val="auto"/>
          <w:sz w:val="28"/>
          <w:szCs w:val="28"/>
          <w:highlight w:val="none"/>
          <w:lang w:val="en-US" w:eastAsia="zh-CN" w:bidi="ar-SA"/>
        </w:rPr>
        <w:t>通过保函索赔或从合同价款中取得赔偿</w:t>
      </w:r>
      <w:r>
        <w:rPr>
          <w:rFonts w:hint="eastAsia" w:ascii="宋体" w:hAnsi="宋体" w:eastAsia="宋体" w:cs="宋体"/>
          <w:color w:val="auto"/>
          <w:sz w:val="28"/>
          <w:szCs w:val="28"/>
          <w:highlight w:val="none"/>
          <w:lang w:val="en-US" w:eastAsia="zh-CN" w:bidi="ar-SA"/>
        </w:rPr>
        <w:t>。</w:t>
      </w:r>
    </w:p>
    <w:p w14:paraId="20424C5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第六条 </w:t>
      </w:r>
      <w:r>
        <w:rPr>
          <w:rFonts w:hint="eastAsia" w:ascii="宋体" w:hAnsi="宋体" w:eastAsia="宋体" w:cs="宋体"/>
          <w:b/>
          <w:bCs/>
          <w:color w:val="auto"/>
          <w:sz w:val="28"/>
          <w:szCs w:val="28"/>
          <w:highlight w:val="none"/>
        </w:rPr>
        <w:t>费用支付</w:t>
      </w:r>
    </w:p>
    <w:p w14:paraId="05FE8CDD">
      <w:pPr>
        <w:keepNext w:val="0"/>
        <w:keepLines w:val="0"/>
        <w:pageBreakBefore w:val="0"/>
        <w:kinsoku/>
        <w:wordWrap/>
        <w:overflowPunct/>
        <w:topLinePunct w:val="0"/>
        <w:autoSpaceDE/>
        <w:autoSpaceDN/>
        <w:bidi w:val="0"/>
        <w:adjustRightInd/>
        <w:snapToGrid/>
        <w:spacing w:line="360" w:lineRule="auto"/>
        <w:ind w:firstLine="480"/>
        <w:textAlignment w:val="auto"/>
        <w:rPr>
          <w:rStyle w:val="245"/>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rPr>
        <w:t>采购人</w:t>
      </w:r>
      <w:r>
        <w:rPr>
          <w:rFonts w:hint="eastAsia" w:ascii="宋体" w:hAnsi="宋体" w:eastAsia="宋体" w:cs="宋体"/>
          <w:color w:val="auto"/>
          <w:sz w:val="28"/>
          <w:szCs w:val="28"/>
          <w:highlight w:val="none"/>
          <w:lang w:val="en-US" w:eastAsia="zh-CN"/>
        </w:rPr>
        <w:t>每半年支付一次</w:t>
      </w:r>
      <w:r>
        <w:rPr>
          <w:rFonts w:hint="eastAsia" w:ascii="宋体" w:hAnsi="宋体" w:eastAsia="宋体" w:cs="宋体"/>
          <w:color w:val="auto"/>
          <w:sz w:val="28"/>
          <w:szCs w:val="28"/>
          <w:highlight w:val="none"/>
        </w:rPr>
        <w:t>日常养护经费</w:t>
      </w:r>
      <w:r>
        <w:rPr>
          <w:rFonts w:hint="eastAsia" w:ascii="宋体" w:hAnsi="宋体" w:eastAsia="宋体" w:cs="宋体"/>
          <w:color w:val="auto"/>
          <w:sz w:val="28"/>
          <w:szCs w:val="28"/>
          <w:highlight w:val="none"/>
          <w:lang w:eastAsia="zh-CN"/>
        </w:rPr>
        <w:t>。</w:t>
      </w:r>
      <w:r>
        <w:rPr>
          <w:rStyle w:val="245"/>
          <w:rFonts w:hint="eastAsia" w:ascii="宋体" w:hAnsi="宋体" w:eastAsia="宋体" w:cs="宋体"/>
          <w:color w:val="auto"/>
          <w:sz w:val="28"/>
          <w:szCs w:val="28"/>
          <w:highlight w:val="none"/>
          <w:lang w:val="en-US" w:eastAsia="zh-CN"/>
        </w:rPr>
        <w:t>供应商</w:t>
      </w:r>
      <w:r>
        <w:rPr>
          <w:rStyle w:val="245"/>
          <w:rFonts w:hint="eastAsia" w:ascii="宋体" w:hAnsi="宋体" w:eastAsia="宋体" w:cs="宋体"/>
          <w:color w:val="auto"/>
          <w:sz w:val="28"/>
          <w:szCs w:val="28"/>
          <w:highlight w:val="none"/>
          <w:lang w:val="zh-CN" w:eastAsia="zh-CN"/>
        </w:rPr>
        <w:t>根据</w:t>
      </w:r>
      <w:r>
        <w:rPr>
          <w:rStyle w:val="245"/>
          <w:rFonts w:hint="eastAsia" w:ascii="宋体" w:hAnsi="宋体" w:eastAsia="宋体" w:cs="宋体"/>
          <w:color w:val="auto"/>
          <w:sz w:val="28"/>
          <w:szCs w:val="28"/>
          <w:highlight w:val="none"/>
          <w:lang w:val="en-US" w:eastAsia="zh-CN"/>
        </w:rPr>
        <w:t>每期考核结果</w:t>
      </w:r>
      <w:r>
        <w:rPr>
          <w:rStyle w:val="245"/>
          <w:rFonts w:hint="eastAsia" w:ascii="宋体" w:hAnsi="宋体" w:eastAsia="宋体" w:cs="宋体"/>
          <w:color w:val="auto"/>
          <w:sz w:val="28"/>
          <w:szCs w:val="28"/>
          <w:highlight w:val="none"/>
          <w:lang w:val="zh-CN" w:eastAsia="zh-CN"/>
        </w:rPr>
        <w:t>相对应的款项金额向采购人提供财务上认可的发票。逾期未提供的，采购人不承担因此造成的逾期付款责任。</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考核细则详见附件</w:t>
      </w:r>
      <w:r>
        <w:rPr>
          <w:rFonts w:hint="eastAsia" w:ascii="宋体" w:hAnsi="宋体" w:eastAsia="宋体" w:cs="宋体"/>
          <w:color w:val="auto"/>
          <w:sz w:val="28"/>
          <w:szCs w:val="28"/>
          <w:highlight w:val="none"/>
          <w:lang w:eastAsia="zh-CN"/>
        </w:rPr>
        <w:t>）</w:t>
      </w:r>
    </w:p>
    <w:p w14:paraId="3B1339B2">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left"/>
        <w:textAlignment w:val="auto"/>
        <w:rPr>
          <w:rFonts w:hint="eastAsia" w:ascii="宋体" w:hAnsi="宋体" w:eastAsia="宋体" w:cs="宋体"/>
          <w:b/>
          <w:bCs w:val="0"/>
          <w:color w:val="auto"/>
          <w:sz w:val="28"/>
          <w:szCs w:val="28"/>
          <w:highlight w:val="none"/>
          <w:lang w:val="en-US" w:eastAsia="zh-CN" w:bidi="ar-SA"/>
        </w:rPr>
      </w:pPr>
      <w:r>
        <w:rPr>
          <w:rFonts w:hint="eastAsia" w:ascii="宋体" w:hAnsi="宋体" w:eastAsia="宋体" w:cs="宋体"/>
          <w:b/>
          <w:bCs w:val="0"/>
          <w:color w:val="auto"/>
          <w:sz w:val="28"/>
          <w:szCs w:val="28"/>
          <w:highlight w:val="none"/>
          <w:lang w:val="en-US" w:eastAsia="zh-CN" w:bidi="ar-SA"/>
        </w:rPr>
        <w:t>第七条 双方权利和义务</w:t>
      </w:r>
    </w:p>
    <w:p w14:paraId="1C80645B">
      <w:pPr>
        <w:keepNext w:val="0"/>
        <w:keepLines w:val="0"/>
        <w:pageBreakBefore w:val="0"/>
        <w:kinsoku/>
        <w:wordWrap/>
        <w:overflowPunct/>
        <w:topLinePunct w:val="0"/>
        <w:autoSpaceDE/>
        <w:autoSpaceDN/>
        <w:bidi w:val="0"/>
        <w:adjustRightInd/>
        <w:snapToGrid/>
        <w:spacing w:line="360" w:lineRule="auto"/>
        <w:ind w:firstLine="480"/>
        <w:textAlignment w:val="auto"/>
        <w:rPr>
          <w:rStyle w:val="295"/>
          <w:rFonts w:hint="eastAsia" w:ascii="宋体" w:hAnsi="宋体" w:eastAsia="宋体" w:cs="宋体"/>
          <w:b w:val="0"/>
          <w:color w:val="auto"/>
          <w:sz w:val="28"/>
          <w:szCs w:val="28"/>
          <w:highlight w:val="none"/>
        </w:rPr>
      </w:pPr>
      <w:r>
        <w:rPr>
          <w:rStyle w:val="295"/>
          <w:rFonts w:hint="eastAsia" w:ascii="宋体" w:hAnsi="宋体" w:eastAsia="宋体" w:cs="宋体"/>
          <w:b w:val="0"/>
          <w:color w:val="auto"/>
          <w:sz w:val="28"/>
          <w:szCs w:val="28"/>
          <w:highlight w:val="none"/>
        </w:rPr>
        <w:t>（一）甲方权利和义务</w:t>
      </w:r>
    </w:p>
    <w:p w14:paraId="53DB607B">
      <w:pPr>
        <w:keepNext w:val="0"/>
        <w:keepLines w:val="0"/>
        <w:pageBreakBefore w:val="0"/>
        <w:widowControl/>
        <w:kinsoku/>
        <w:wordWrap/>
        <w:overflowPunct/>
        <w:topLinePunct w:val="0"/>
        <w:autoSpaceDE/>
        <w:autoSpaceDN/>
        <w:bidi w:val="0"/>
        <w:adjustRightInd/>
        <w:snapToGrid/>
        <w:spacing w:line="360" w:lineRule="auto"/>
        <w:ind w:firstLine="600" w:firstLineChars="200"/>
        <w:jc w:val="both"/>
        <w:rPr>
          <w:rFonts w:hint="eastAsia" w:ascii="宋体" w:hAnsi="宋体" w:eastAsia="宋体" w:cs="宋体"/>
          <w:color w:val="auto"/>
          <w:spacing w:val="10"/>
          <w:sz w:val="28"/>
          <w:szCs w:val="28"/>
          <w:highlight w:val="none"/>
        </w:rPr>
      </w:pPr>
      <w:r>
        <w:rPr>
          <w:rFonts w:hint="eastAsia" w:ascii="宋体" w:hAnsi="宋体" w:eastAsia="宋体" w:cs="宋体"/>
          <w:color w:val="auto"/>
          <w:spacing w:val="10"/>
          <w:sz w:val="28"/>
          <w:szCs w:val="28"/>
          <w:highlight w:val="none"/>
        </w:rPr>
        <w:t>1.甲方制定绿化综合养护标准及考核办法，并将考核办法书面告知乙方，甲方派专人按照</w:t>
      </w:r>
      <w:r>
        <w:rPr>
          <w:rFonts w:hint="eastAsia" w:ascii="宋体" w:hAnsi="宋体" w:eastAsia="宋体" w:cs="宋体"/>
          <w:color w:val="auto"/>
          <w:kern w:val="2"/>
          <w:sz w:val="28"/>
          <w:szCs w:val="28"/>
          <w:highlight w:val="none"/>
          <w:u w:val="single"/>
          <w:lang w:val="en-US" w:eastAsia="zh-CN"/>
        </w:rPr>
        <w:t>《度假区</w:t>
      </w:r>
      <w:r>
        <w:rPr>
          <w:rFonts w:hint="eastAsia" w:ascii="宋体" w:hAnsi="宋体" w:eastAsia="宋体" w:cs="宋体"/>
          <w:color w:val="auto"/>
          <w:kern w:val="2"/>
          <w:sz w:val="28"/>
          <w:szCs w:val="28"/>
          <w:highlight w:val="none"/>
          <w:u w:val="single"/>
          <w:lang w:eastAsia="zh-CN"/>
        </w:rPr>
        <w:t>道路</w:t>
      </w:r>
      <w:r>
        <w:rPr>
          <w:rFonts w:hint="eastAsia" w:ascii="宋体" w:hAnsi="宋体" w:eastAsia="宋体" w:cs="宋体"/>
          <w:color w:val="auto"/>
          <w:kern w:val="2"/>
          <w:sz w:val="28"/>
          <w:szCs w:val="28"/>
          <w:highlight w:val="none"/>
          <w:u w:val="single"/>
          <w:lang w:val="en-US" w:eastAsia="zh-CN"/>
        </w:rPr>
        <w:t>保洁绿化养护精细化管理</w:t>
      </w:r>
      <w:r>
        <w:rPr>
          <w:rFonts w:hint="eastAsia" w:ascii="宋体" w:hAnsi="宋体" w:eastAsia="宋体" w:cs="宋体"/>
          <w:color w:val="auto"/>
          <w:kern w:val="2"/>
          <w:sz w:val="28"/>
          <w:szCs w:val="28"/>
          <w:highlight w:val="none"/>
          <w:u w:val="single"/>
          <w:lang w:eastAsia="zh-CN"/>
        </w:rPr>
        <w:t>考核办法</w:t>
      </w:r>
      <w:r>
        <w:rPr>
          <w:rFonts w:hint="eastAsia" w:ascii="宋体" w:hAnsi="宋体" w:eastAsia="宋体" w:cs="宋体"/>
          <w:color w:val="auto"/>
          <w:kern w:val="2"/>
          <w:sz w:val="28"/>
          <w:szCs w:val="28"/>
          <w:highlight w:val="none"/>
          <w:u w:val="single"/>
          <w:lang w:val="en-US" w:eastAsia="zh-CN"/>
        </w:rPr>
        <w:t>》、《</w:t>
      </w:r>
      <w:r>
        <w:rPr>
          <w:rFonts w:hint="eastAsia" w:ascii="宋体" w:hAnsi="宋体" w:cs="宋体"/>
          <w:color w:val="auto"/>
          <w:kern w:val="2"/>
          <w:sz w:val="28"/>
          <w:szCs w:val="28"/>
          <w:highlight w:val="none"/>
          <w:u w:val="single"/>
          <w:lang w:val="en-US" w:eastAsia="zh-CN"/>
        </w:rPr>
        <w:t>园林</w:t>
      </w:r>
      <w:r>
        <w:rPr>
          <w:rFonts w:hint="eastAsia" w:ascii="宋体" w:hAnsi="宋体" w:eastAsia="宋体" w:cs="宋体"/>
          <w:color w:val="auto"/>
          <w:kern w:val="2"/>
          <w:sz w:val="28"/>
          <w:szCs w:val="28"/>
          <w:highlight w:val="none"/>
          <w:u w:val="single"/>
          <w:lang w:val="en-US" w:eastAsia="zh-CN"/>
        </w:rPr>
        <w:t>绿化养护质量等级标准》</w:t>
      </w:r>
      <w:r>
        <w:rPr>
          <w:rFonts w:hint="eastAsia" w:ascii="宋体" w:hAnsi="宋体" w:eastAsia="宋体" w:cs="宋体"/>
          <w:color w:val="auto"/>
          <w:spacing w:val="10"/>
          <w:sz w:val="28"/>
          <w:szCs w:val="28"/>
          <w:highlight w:val="none"/>
        </w:rPr>
        <w:t>进行检查考核。</w:t>
      </w:r>
    </w:p>
    <w:p w14:paraId="313C779A">
      <w:pPr>
        <w:keepNext w:val="0"/>
        <w:keepLines w:val="0"/>
        <w:pageBreakBefore w:val="0"/>
        <w:kinsoku/>
        <w:wordWrap/>
        <w:overflowPunct/>
        <w:topLinePunct w:val="0"/>
        <w:autoSpaceDE/>
        <w:autoSpaceDN/>
        <w:bidi w:val="0"/>
        <w:adjustRightInd/>
        <w:snapToGrid/>
        <w:spacing w:line="360" w:lineRule="auto"/>
        <w:ind w:firstLine="520"/>
        <w:textAlignment w:val="auto"/>
        <w:rPr>
          <w:rFonts w:hint="eastAsia" w:ascii="宋体" w:hAnsi="宋体" w:eastAsia="宋体" w:cs="宋体"/>
          <w:color w:val="auto"/>
          <w:spacing w:val="10"/>
          <w:sz w:val="28"/>
          <w:szCs w:val="28"/>
          <w:highlight w:val="none"/>
        </w:rPr>
      </w:pPr>
      <w:r>
        <w:rPr>
          <w:rFonts w:hint="eastAsia" w:ascii="宋体" w:hAnsi="宋体" w:eastAsia="宋体" w:cs="宋体"/>
          <w:color w:val="auto"/>
          <w:spacing w:val="10"/>
          <w:sz w:val="28"/>
          <w:szCs w:val="28"/>
          <w:highlight w:val="none"/>
        </w:rPr>
        <w:t>2.如遇防汛、防台、突发事件以及重大活动保障等工作，甲方负责协调乙方在作业过程中同其他部门的联系。</w:t>
      </w:r>
    </w:p>
    <w:p w14:paraId="4DB8A390">
      <w:pPr>
        <w:keepNext w:val="0"/>
        <w:keepLines w:val="0"/>
        <w:pageBreakBefore w:val="0"/>
        <w:kinsoku/>
        <w:wordWrap/>
        <w:overflowPunct/>
        <w:topLinePunct w:val="0"/>
        <w:autoSpaceDE/>
        <w:autoSpaceDN/>
        <w:bidi w:val="0"/>
        <w:adjustRightInd/>
        <w:snapToGrid/>
        <w:spacing w:line="360" w:lineRule="auto"/>
        <w:ind w:firstLine="520"/>
        <w:textAlignment w:val="auto"/>
        <w:rPr>
          <w:rFonts w:hint="eastAsia" w:ascii="宋体" w:hAnsi="宋体" w:eastAsia="宋体" w:cs="宋体"/>
          <w:color w:val="auto"/>
          <w:spacing w:val="10"/>
          <w:sz w:val="28"/>
          <w:szCs w:val="28"/>
          <w:highlight w:val="none"/>
        </w:rPr>
      </w:pPr>
      <w:r>
        <w:rPr>
          <w:rFonts w:hint="eastAsia" w:ascii="宋体" w:hAnsi="宋体" w:eastAsia="宋体" w:cs="宋体"/>
          <w:color w:val="auto"/>
          <w:spacing w:val="10"/>
          <w:sz w:val="28"/>
          <w:szCs w:val="28"/>
          <w:highlight w:val="none"/>
        </w:rPr>
        <w:t>3.按照约定支付管养费用。</w:t>
      </w:r>
    </w:p>
    <w:p w14:paraId="06D1574C">
      <w:pPr>
        <w:keepNext w:val="0"/>
        <w:keepLines w:val="0"/>
        <w:pageBreakBefore w:val="0"/>
        <w:kinsoku/>
        <w:wordWrap/>
        <w:overflowPunct/>
        <w:topLinePunct w:val="0"/>
        <w:autoSpaceDE/>
        <w:autoSpaceDN/>
        <w:bidi w:val="0"/>
        <w:adjustRightInd/>
        <w:snapToGrid/>
        <w:spacing w:line="360" w:lineRule="auto"/>
        <w:ind w:firstLine="480"/>
        <w:textAlignment w:val="auto"/>
        <w:rPr>
          <w:rStyle w:val="295"/>
          <w:rFonts w:hint="eastAsia" w:ascii="宋体" w:hAnsi="宋体" w:eastAsia="宋体" w:cs="宋体"/>
          <w:b w:val="0"/>
          <w:color w:val="auto"/>
          <w:sz w:val="28"/>
          <w:szCs w:val="28"/>
          <w:highlight w:val="none"/>
        </w:rPr>
      </w:pPr>
      <w:r>
        <w:rPr>
          <w:rStyle w:val="295"/>
          <w:rFonts w:hint="eastAsia" w:ascii="宋体" w:hAnsi="宋体" w:eastAsia="宋体" w:cs="宋体"/>
          <w:b w:val="0"/>
          <w:color w:val="auto"/>
          <w:sz w:val="28"/>
          <w:szCs w:val="28"/>
          <w:highlight w:val="none"/>
        </w:rPr>
        <w:t>（二）乙方权利和义务</w:t>
      </w:r>
    </w:p>
    <w:p w14:paraId="1AB9EBB0">
      <w:pPr>
        <w:keepNext w:val="0"/>
        <w:keepLines w:val="0"/>
        <w:pageBreakBefore w:val="0"/>
        <w:kinsoku/>
        <w:wordWrap/>
        <w:overflowPunct/>
        <w:topLinePunct w:val="0"/>
        <w:autoSpaceDE/>
        <w:autoSpaceDN/>
        <w:bidi w:val="0"/>
        <w:adjustRightInd/>
        <w:snapToGrid/>
        <w:spacing w:line="360" w:lineRule="auto"/>
        <w:ind w:firstLine="520"/>
        <w:textAlignment w:val="auto"/>
        <w:rPr>
          <w:rFonts w:hint="eastAsia" w:ascii="宋体" w:hAnsi="宋体" w:eastAsia="宋体" w:cs="宋体"/>
          <w:color w:val="auto"/>
          <w:spacing w:val="10"/>
          <w:sz w:val="28"/>
          <w:szCs w:val="28"/>
          <w:highlight w:val="none"/>
        </w:rPr>
      </w:pPr>
      <w:r>
        <w:rPr>
          <w:rFonts w:hint="eastAsia" w:ascii="宋体" w:hAnsi="宋体" w:eastAsia="宋体" w:cs="宋体"/>
          <w:color w:val="auto"/>
          <w:spacing w:val="10"/>
          <w:sz w:val="28"/>
          <w:szCs w:val="28"/>
          <w:highlight w:val="none"/>
        </w:rPr>
        <w:t>1.乙方进场后上报现场组织机构、人员配备、管养方案等至甲方处进行审核备案，经甲方审核同意后实施。</w:t>
      </w:r>
    </w:p>
    <w:p w14:paraId="6FF92424">
      <w:pPr>
        <w:keepNext w:val="0"/>
        <w:keepLines w:val="0"/>
        <w:pageBreakBefore w:val="0"/>
        <w:kinsoku/>
        <w:wordWrap/>
        <w:overflowPunct/>
        <w:topLinePunct w:val="0"/>
        <w:autoSpaceDE/>
        <w:autoSpaceDN/>
        <w:bidi w:val="0"/>
        <w:adjustRightInd/>
        <w:snapToGrid/>
        <w:spacing w:line="360" w:lineRule="auto"/>
        <w:ind w:firstLine="520"/>
        <w:textAlignment w:val="auto"/>
        <w:rPr>
          <w:rFonts w:hint="eastAsia" w:ascii="宋体" w:hAnsi="宋体" w:eastAsia="宋体" w:cs="宋体"/>
          <w:color w:val="auto"/>
          <w:spacing w:val="10"/>
          <w:sz w:val="28"/>
          <w:szCs w:val="28"/>
          <w:highlight w:val="none"/>
        </w:rPr>
      </w:pPr>
      <w:r>
        <w:rPr>
          <w:rFonts w:hint="eastAsia" w:ascii="宋体" w:hAnsi="宋体" w:eastAsia="宋体" w:cs="宋体"/>
          <w:color w:val="auto"/>
          <w:spacing w:val="10"/>
          <w:sz w:val="28"/>
          <w:szCs w:val="28"/>
          <w:highlight w:val="none"/>
        </w:rPr>
        <w:t>2.乙方按照设施维护规范、规程的要求实施并完成各项设施维护任务，达到甲方有关设施维护标准，保持所维护设施完好状况的水平，依据合同获得管养经费。</w:t>
      </w:r>
    </w:p>
    <w:p w14:paraId="0C4395FC">
      <w:pPr>
        <w:keepNext w:val="0"/>
        <w:keepLines w:val="0"/>
        <w:pageBreakBefore w:val="0"/>
        <w:kinsoku/>
        <w:wordWrap/>
        <w:overflowPunct/>
        <w:topLinePunct w:val="0"/>
        <w:autoSpaceDE/>
        <w:autoSpaceDN/>
        <w:bidi w:val="0"/>
        <w:adjustRightInd/>
        <w:snapToGrid/>
        <w:spacing w:line="360" w:lineRule="auto"/>
        <w:ind w:firstLine="520"/>
        <w:textAlignment w:val="auto"/>
        <w:rPr>
          <w:rFonts w:hint="eastAsia" w:ascii="宋体" w:hAnsi="宋体" w:eastAsia="宋体" w:cs="宋体"/>
          <w:color w:val="auto"/>
          <w:spacing w:val="10"/>
          <w:sz w:val="28"/>
          <w:szCs w:val="28"/>
          <w:highlight w:val="none"/>
        </w:rPr>
      </w:pPr>
      <w:r>
        <w:rPr>
          <w:rFonts w:hint="eastAsia" w:ascii="宋体" w:hAnsi="宋体" w:eastAsia="宋体" w:cs="宋体"/>
          <w:color w:val="auto"/>
          <w:spacing w:val="10"/>
          <w:sz w:val="28"/>
          <w:szCs w:val="28"/>
          <w:highlight w:val="none"/>
        </w:rPr>
        <w:t>3.乙方必须严格按合同条款、绿化综合养护标准及相关规定，组织管养。乙方管养过程中收集、产生的所有垃圾必须按规定予以处理，且费用自行承担。</w:t>
      </w:r>
    </w:p>
    <w:p w14:paraId="469400B2">
      <w:pPr>
        <w:keepNext w:val="0"/>
        <w:keepLines w:val="0"/>
        <w:pageBreakBefore w:val="0"/>
        <w:kinsoku/>
        <w:wordWrap/>
        <w:overflowPunct/>
        <w:topLinePunct w:val="0"/>
        <w:autoSpaceDE/>
        <w:autoSpaceDN/>
        <w:bidi w:val="0"/>
        <w:adjustRightInd/>
        <w:snapToGrid/>
        <w:spacing w:line="360" w:lineRule="auto"/>
        <w:ind w:firstLine="520"/>
        <w:textAlignment w:val="auto"/>
        <w:rPr>
          <w:rFonts w:hint="eastAsia" w:ascii="宋体" w:hAnsi="宋体" w:eastAsia="宋体" w:cs="宋体"/>
          <w:color w:val="auto"/>
          <w:spacing w:val="10"/>
          <w:sz w:val="28"/>
          <w:szCs w:val="28"/>
          <w:highlight w:val="none"/>
        </w:rPr>
      </w:pPr>
      <w:r>
        <w:rPr>
          <w:rFonts w:hint="eastAsia" w:ascii="宋体" w:hAnsi="宋体" w:eastAsia="宋体" w:cs="宋体"/>
          <w:color w:val="auto"/>
          <w:spacing w:val="10"/>
          <w:sz w:val="28"/>
          <w:szCs w:val="28"/>
          <w:highlight w:val="none"/>
        </w:rPr>
        <w:t>4.乙方需确保绿化管养质量，承担设施、人员安全和公共安全责任，若因管养不到位造成的一切损失由乙方承担。</w:t>
      </w:r>
    </w:p>
    <w:p w14:paraId="3C802004">
      <w:pPr>
        <w:keepNext w:val="0"/>
        <w:keepLines w:val="0"/>
        <w:pageBreakBefore w:val="0"/>
        <w:kinsoku/>
        <w:wordWrap/>
        <w:overflowPunct/>
        <w:topLinePunct w:val="0"/>
        <w:autoSpaceDE/>
        <w:autoSpaceDN/>
        <w:bidi w:val="0"/>
        <w:adjustRightInd/>
        <w:snapToGrid/>
        <w:spacing w:line="360" w:lineRule="auto"/>
        <w:ind w:firstLine="520"/>
        <w:textAlignment w:val="auto"/>
        <w:rPr>
          <w:rFonts w:hint="eastAsia" w:ascii="宋体" w:hAnsi="宋体" w:eastAsia="宋体" w:cs="宋体"/>
          <w:color w:val="auto"/>
          <w:spacing w:val="10"/>
          <w:sz w:val="28"/>
          <w:szCs w:val="28"/>
          <w:highlight w:val="none"/>
        </w:rPr>
      </w:pPr>
      <w:r>
        <w:rPr>
          <w:rFonts w:hint="eastAsia" w:ascii="宋体" w:hAnsi="宋体" w:eastAsia="宋体" w:cs="宋体"/>
          <w:color w:val="auto"/>
          <w:spacing w:val="10"/>
          <w:sz w:val="28"/>
          <w:szCs w:val="28"/>
          <w:highlight w:val="none"/>
        </w:rPr>
        <w:t>5.乙方应做好日常巡查工作，对破坏绿化设施行为予以制止并及时上报，并配合甲方进行查处。如未能及时发现和上报，对破坏的绿地由乙方根据甲方要求的恢复，费用由乙方承担，如未能按照甲方要求恢复，甲方有权对涉及的整改费用经审计后在管养经费中予以扣除。对已及时发现并上报的，由甲方对破坏方进行追偿，乙方负责恢复，恢复费用经甲方指定的审计单位审计后支付给乙方。</w:t>
      </w:r>
    </w:p>
    <w:p w14:paraId="3B4DBCA0">
      <w:pPr>
        <w:keepNext w:val="0"/>
        <w:keepLines w:val="0"/>
        <w:pageBreakBefore w:val="0"/>
        <w:kinsoku/>
        <w:wordWrap/>
        <w:overflowPunct/>
        <w:topLinePunct w:val="0"/>
        <w:autoSpaceDE/>
        <w:autoSpaceDN/>
        <w:bidi w:val="0"/>
        <w:adjustRightInd/>
        <w:snapToGrid/>
        <w:spacing w:line="360" w:lineRule="auto"/>
        <w:ind w:firstLine="520"/>
        <w:textAlignment w:val="auto"/>
        <w:rPr>
          <w:rFonts w:hint="eastAsia" w:ascii="宋体" w:hAnsi="宋体" w:eastAsia="宋体" w:cs="宋体"/>
          <w:color w:val="auto"/>
          <w:spacing w:val="10"/>
          <w:sz w:val="28"/>
          <w:szCs w:val="28"/>
          <w:highlight w:val="none"/>
        </w:rPr>
      </w:pPr>
      <w:r>
        <w:rPr>
          <w:rFonts w:hint="eastAsia" w:ascii="宋体" w:hAnsi="宋体" w:eastAsia="宋体" w:cs="宋体"/>
          <w:color w:val="auto"/>
          <w:spacing w:val="10"/>
          <w:sz w:val="28"/>
          <w:szCs w:val="28"/>
          <w:highlight w:val="none"/>
        </w:rPr>
        <w:t>6.乙方应完成项目范围内突发性和重大性保障工作任务，如文明城市检查、重大活动环境保障等任务；制定防汛防台应急预案(成立防汛防台领导小组分工及细化的消险保障专项方案)，在防汛防台、执行重大保障任务期间，乙方须按照甲方要求提供24小时保障，准备并且备足常用防汛抢险材料，服从甲方调度和管理。在遇到不可抗拒自然灾害时按照预案实施，如因未按照预案制定应对措施或措施实施不到位所造成的一切损失由乙方承担。</w:t>
      </w:r>
    </w:p>
    <w:p w14:paraId="1683EF4F">
      <w:pPr>
        <w:keepNext w:val="0"/>
        <w:keepLines w:val="0"/>
        <w:pageBreakBefore w:val="0"/>
        <w:kinsoku/>
        <w:wordWrap/>
        <w:overflowPunct/>
        <w:topLinePunct w:val="0"/>
        <w:autoSpaceDE/>
        <w:autoSpaceDN/>
        <w:bidi w:val="0"/>
        <w:adjustRightInd/>
        <w:snapToGrid/>
        <w:spacing w:line="360" w:lineRule="auto"/>
        <w:ind w:firstLine="520"/>
        <w:textAlignment w:val="auto"/>
        <w:rPr>
          <w:rFonts w:hint="eastAsia" w:ascii="宋体" w:hAnsi="宋体" w:eastAsia="宋体" w:cs="宋体"/>
          <w:color w:val="auto"/>
          <w:spacing w:val="10"/>
          <w:sz w:val="28"/>
          <w:szCs w:val="28"/>
          <w:highlight w:val="none"/>
        </w:rPr>
      </w:pPr>
      <w:r>
        <w:rPr>
          <w:rFonts w:hint="eastAsia" w:ascii="宋体" w:hAnsi="宋体" w:eastAsia="宋体" w:cs="宋体"/>
          <w:color w:val="auto"/>
          <w:spacing w:val="10"/>
          <w:sz w:val="28"/>
          <w:szCs w:val="28"/>
          <w:highlight w:val="none"/>
        </w:rPr>
        <w:t>7.乙方工作人员应服从甲方的管理和指挥，遵守甲方各项管理制度。</w:t>
      </w:r>
    </w:p>
    <w:p w14:paraId="283E48E0">
      <w:pPr>
        <w:keepNext w:val="0"/>
        <w:keepLines w:val="0"/>
        <w:pageBreakBefore w:val="0"/>
        <w:kinsoku/>
        <w:wordWrap/>
        <w:overflowPunct/>
        <w:topLinePunct w:val="0"/>
        <w:autoSpaceDE/>
        <w:autoSpaceDN/>
        <w:bidi w:val="0"/>
        <w:adjustRightInd/>
        <w:snapToGrid/>
        <w:spacing w:line="360" w:lineRule="auto"/>
        <w:ind w:firstLine="520"/>
        <w:textAlignment w:val="auto"/>
        <w:rPr>
          <w:rFonts w:hint="eastAsia" w:ascii="宋体" w:hAnsi="宋体" w:eastAsia="宋体" w:cs="宋体"/>
          <w:color w:val="auto"/>
          <w:spacing w:val="10"/>
          <w:sz w:val="28"/>
          <w:szCs w:val="28"/>
          <w:highlight w:val="none"/>
        </w:rPr>
      </w:pPr>
      <w:r>
        <w:rPr>
          <w:rFonts w:hint="eastAsia" w:ascii="宋体" w:hAnsi="宋体" w:eastAsia="宋体" w:cs="宋体"/>
          <w:color w:val="auto"/>
          <w:spacing w:val="10"/>
          <w:sz w:val="28"/>
          <w:szCs w:val="28"/>
          <w:highlight w:val="none"/>
        </w:rPr>
        <w:t>8.乙方使用的养护工作人员必须身体健康、仪容端正、品德良好，无违法犯罪记录，乙方负责养护工人的培训、教育、统一着装上岗。特殊岗位技术人员需有相应的操作上岗证或从业资格证，不得无证上岗或持过期证上岗。</w:t>
      </w:r>
    </w:p>
    <w:p w14:paraId="5AEF526D">
      <w:pPr>
        <w:keepNext w:val="0"/>
        <w:keepLines w:val="0"/>
        <w:pageBreakBefore w:val="0"/>
        <w:kinsoku/>
        <w:wordWrap/>
        <w:overflowPunct/>
        <w:topLinePunct w:val="0"/>
        <w:autoSpaceDE/>
        <w:autoSpaceDN/>
        <w:bidi w:val="0"/>
        <w:adjustRightInd/>
        <w:snapToGrid/>
        <w:spacing w:line="360" w:lineRule="auto"/>
        <w:ind w:firstLine="520"/>
        <w:textAlignment w:val="auto"/>
        <w:rPr>
          <w:rFonts w:hint="eastAsia" w:ascii="宋体" w:hAnsi="宋体" w:eastAsia="宋体" w:cs="宋体"/>
          <w:color w:val="auto"/>
          <w:spacing w:val="10"/>
          <w:sz w:val="28"/>
          <w:szCs w:val="28"/>
          <w:highlight w:val="none"/>
        </w:rPr>
      </w:pPr>
      <w:r>
        <w:rPr>
          <w:rFonts w:hint="eastAsia" w:ascii="宋体" w:hAnsi="宋体" w:eastAsia="宋体" w:cs="宋体"/>
          <w:color w:val="auto"/>
          <w:spacing w:val="10"/>
          <w:sz w:val="28"/>
          <w:szCs w:val="28"/>
          <w:highlight w:val="none"/>
        </w:rPr>
        <w:t>9.乙方可根据自身的工作特点自行安排工作程序，但在重大保障中工作时间必须与甲方的要求相符合。</w:t>
      </w:r>
    </w:p>
    <w:p w14:paraId="783278BF">
      <w:pPr>
        <w:keepNext w:val="0"/>
        <w:keepLines w:val="0"/>
        <w:pageBreakBefore w:val="0"/>
        <w:kinsoku/>
        <w:wordWrap/>
        <w:overflowPunct/>
        <w:topLinePunct w:val="0"/>
        <w:autoSpaceDE/>
        <w:autoSpaceDN/>
        <w:bidi w:val="0"/>
        <w:adjustRightInd/>
        <w:snapToGrid/>
        <w:spacing w:line="360" w:lineRule="auto"/>
        <w:ind w:firstLine="520"/>
        <w:textAlignment w:val="auto"/>
        <w:rPr>
          <w:rFonts w:hint="eastAsia" w:ascii="宋体" w:hAnsi="宋体" w:eastAsia="宋体" w:cs="宋体"/>
          <w:color w:val="auto"/>
          <w:spacing w:val="10"/>
          <w:sz w:val="28"/>
          <w:szCs w:val="28"/>
          <w:highlight w:val="none"/>
        </w:rPr>
      </w:pPr>
      <w:r>
        <w:rPr>
          <w:rFonts w:hint="eastAsia" w:ascii="宋体" w:hAnsi="宋体" w:eastAsia="宋体" w:cs="宋体"/>
          <w:color w:val="auto"/>
          <w:spacing w:val="10"/>
          <w:sz w:val="28"/>
          <w:szCs w:val="28"/>
          <w:highlight w:val="none"/>
        </w:rPr>
        <w:t>10.乙方应遵循安全生产、文明作业的有关规定，在管养过程中，采取严格的安全措施，如发生人身安全事故，责任与费用由乙方承担。</w:t>
      </w:r>
    </w:p>
    <w:p w14:paraId="3ABB1795">
      <w:pPr>
        <w:keepNext w:val="0"/>
        <w:keepLines w:val="0"/>
        <w:pageBreakBefore w:val="0"/>
        <w:kinsoku/>
        <w:wordWrap/>
        <w:overflowPunct/>
        <w:topLinePunct w:val="0"/>
        <w:autoSpaceDE/>
        <w:autoSpaceDN/>
        <w:bidi w:val="0"/>
        <w:adjustRightInd/>
        <w:snapToGrid/>
        <w:spacing w:line="360" w:lineRule="auto"/>
        <w:ind w:firstLine="520"/>
        <w:textAlignment w:val="auto"/>
        <w:rPr>
          <w:rFonts w:hint="eastAsia" w:ascii="宋体" w:hAnsi="宋体" w:eastAsia="宋体" w:cs="宋体"/>
          <w:color w:val="auto"/>
          <w:spacing w:val="10"/>
          <w:sz w:val="28"/>
          <w:szCs w:val="28"/>
          <w:highlight w:val="none"/>
        </w:rPr>
      </w:pPr>
      <w:r>
        <w:rPr>
          <w:rFonts w:hint="eastAsia" w:ascii="宋体" w:hAnsi="宋体" w:eastAsia="宋体" w:cs="宋体"/>
          <w:color w:val="auto"/>
          <w:spacing w:val="10"/>
          <w:sz w:val="28"/>
          <w:szCs w:val="28"/>
          <w:highlight w:val="none"/>
        </w:rPr>
        <w:t>11.乙方需协助甲方调查、解决市民来信来访及投诉，并根据甲方要求及时处理。</w:t>
      </w:r>
    </w:p>
    <w:p w14:paraId="61D28F31">
      <w:pPr>
        <w:keepNext w:val="0"/>
        <w:keepLines w:val="0"/>
        <w:pageBreakBefore w:val="0"/>
        <w:kinsoku/>
        <w:wordWrap/>
        <w:overflowPunct/>
        <w:topLinePunct w:val="0"/>
        <w:autoSpaceDE/>
        <w:autoSpaceDN/>
        <w:bidi w:val="0"/>
        <w:adjustRightInd/>
        <w:snapToGrid/>
        <w:spacing w:line="360" w:lineRule="auto"/>
        <w:ind w:firstLine="520"/>
        <w:textAlignment w:val="auto"/>
        <w:rPr>
          <w:rFonts w:hint="eastAsia" w:ascii="宋体" w:hAnsi="宋体" w:eastAsia="宋体" w:cs="宋体"/>
          <w:color w:val="auto"/>
          <w:spacing w:val="10"/>
          <w:sz w:val="28"/>
          <w:szCs w:val="28"/>
          <w:highlight w:val="none"/>
        </w:rPr>
      </w:pPr>
      <w:r>
        <w:rPr>
          <w:rFonts w:hint="eastAsia" w:ascii="宋体" w:hAnsi="宋体" w:eastAsia="宋体" w:cs="宋体"/>
          <w:color w:val="auto"/>
          <w:spacing w:val="10"/>
          <w:sz w:val="28"/>
          <w:szCs w:val="28"/>
          <w:highlight w:val="none"/>
        </w:rPr>
        <w:t>12.乙方应完成项目范围内的抢险、消险、救灾工作。在消险过程中严格确保安全作业，并服从甲方的统一指挥和调动，参加全区抢险救灾工作。对突发性事件的应急预案做到定期和不定期演练，以便应对突发性事件。</w:t>
      </w:r>
    </w:p>
    <w:p w14:paraId="189C6645">
      <w:pPr>
        <w:keepNext w:val="0"/>
        <w:keepLines w:val="0"/>
        <w:pageBreakBefore w:val="0"/>
        <w:kinsoku/>
        <w:wordWrap/>
        <w:overflowPunct/>
        <w:topLinePunct w:val="0"/>
        <w:autoSpaceDE/>
        <w:autoSpaceDN/>
        <w:bidi w:val="0"/>
        <w:adjustRightInd/>
        <w:snapToGrid/>
        <w:spacing w:line="360" w:lineRule="auto"/>
        <w:ind w:firstLine="520"/>
        <w:textAlignment w:val="auto"/>
        <w:rPr>
          <w:rFonts w:hint="eastAsia" w:ascii="宋体" w:hAnsi="宋体" w:eastAsia="宋体" w:cs="宋体"/>
          <w:color w:val="auto"/>
          <w:spacing w:val="10"/>
          <w:sz w:val="28"/>
          <w:szCs w:val="28"/>
          <w:highlight w:val="none"/>
        </w:rPr>
      </w:pPr>
      <w:r>
        <w:rPr>
          <w:rFonts w:hint="eastAsia" w:ascii="宋体" w:hAnsi="宋体" w:eastAsia="宋体" w:cs="宋体"/>
          <w:color w:val="auto"/>
          <w:spacing w:val="10"/>
          <w:sz w:val="28"/>
          <w:szCs w:val="28"/>
          <w:highlight w:val="none"/>
        </w:rPr>
        <w:t>13.</w:t>
      </w:r>
      <w:r>
        <w:rPr>
          <w:rStyle w:val="296"/>
          <w:rFonts w:hint="eastAsia" w:ascii="宋体" w:hAnsi="宋体" w:eastAsia="宋体" w:cs="宋体"/>
          <w:color w:val="auto"/>
          <w:sz w:val="28"/>
          <w:szCs w:val="28"/>
          <w:highlight w:val="none"/>
        </w:rPr>
        <w:t xml:space="preserve"> </w:t>
      </w:r>
      <w:r>
        <w:rPr>
          <w:rStyle w:val="246"/>
          <w:rFonts w:hint="eastAsia" w:ascii="宋体" w:hAnsi="宋体" w:eastAsia="宋体" w:cs="宋体"/>
          <w:color w:val="auto"/>
          <w:sz w:val="28"/>
          <w:szCs w:val="28"/>
          <w:highlight w:val="none"/>
        </w:rPr>
        <w:t>对于</w:t>
      </w:r>
      <w:r>
        <w:rPr>
          <w:rStyle w:val="246"/>
          <w:rFonts w:hint="eastAsia" w:ascii="宋体" w:hAnsi="宋体" w:eastAsia="宋体" w:cs="宋体"/>
          <w:color w:val="auto"/>
          <w:sz w:val="28"/>
          <w:szCs w:val="28"/>
          <w:highlight w:val="none"/>
          <w:lang w:eastAsia="zh-CN"/>
        </w:rPr>
        <w:t>甲方</w:t>
      </w:r>
      <w:r>
        <w:rPr>
          <w:rStyle w:val="246"/>
          <w:rFonts w:hint="eastAsia" w:ascii="宋体" w:hAnsi="宋体" w:eastAsia="宋体" w:cs="宋体"/>
          <w:color w:val="auto"/>
          <w:sz w:val="28"/>
          <w:szCs w:val="28"/>
          <w:highlight w:val="none"/>
        </w:rPr>
        <w:t>巡查下发的问题整改清单以及管养范围内各类信访、投诉、媒体曝光、举报事项，</w:t>
      </w:r>
      <w:r>
        <w:rPr>
          <w:rStyle w:val="246"/>
          <w:rFonts w:hint="eastAsia" w:ascii="宋体" w:hAnsi="宋体" w:cs="宋体"/>
          <w:color w:val="auto"/>
          <w:sz w:val="28"/>
          <w:szCs w:val="28"/>
          <w:highlight w:val="none"/>
          <w:lang w:val="en-US" w:eastAsia="zh-CN"/>
        </w:rPr>
        <w:t>乙方</w:t>
      </w:r>
      <w:r>
        <w:rPr>
          <w:rStyle w:val="246"/>
          <w:rFonts w:hint="eastAsia" w:ascii="宋体" w:hAnsi="宋体" w:eastAsia="宋体" w:cs="宋体"/>
          <w:color w:val="auto"/>
          <w:sz w:val="28"/>
          <w:szCs w:val="28"/>
          <w:highlight w:val="none"/>
        </w:rPr>
        <w:t>需在</w:t>
      </w:r>
      <w:r>
        <w:rPr>
          <w:rStyle w:val="246"/>
          <w:rFonts w:hint="eastAsia" w:ascii="宋体" w:hAnsi="宋体" w:cs="宋体"/>
          <w:color w:val="auto"/>
          <w:sz w:val="28"/>
          <w:szCs w:val="28"/>
          <w:highlight w:val="none"/>
          <w:lang w:val="en-US" w:eastAsia="zh-CN"/>
        </w:rPr>
        <w:t>甲方</w:t>
      </w:r>
      <w:r>
        <w:rPr>
          <w:rStyle w:val="246"/>
          <w:rFonts w:hint="eastAsia" w:ascii="宋体" w:hAnsi="宋体" w:eastAsia="宋体" w:cs="宋体"/>
          <w:color w:val="auto"/>
          <w:sz w:val="28"/>
          <w:szCs w:val="28"/>
          <w:highlight w:val="none"/>
        </w:rPr>
        <w:t>规定时限内及时完成整改和反馈工作。</w:t>
      </w:r>
    </w:p>
    <w:p w14:paraId="769E5131">
      <w:pPr>
        <w:keepNext w:val="0"/>
        <w:keepLines w:val="0"/>
        <w:pageBreakBefore w:val="0"/>
        <w:kinsoku/>
        <w:wordWrap/>
        <w:overflowPunct/>
        <w:topLinePunct w:val="0"/>
        <w:autoSpaceDE/>
        <w:autoSpaceDN/>
        <w:bidi w:val="0"/>
        <w:adjustRightInd/>
        <w:snapToGrid/>
        <w:spacing w:line="360" w:lineRule="auto"/>
        <w:ind w:firstLine="520"/>
        <w:textAlignment w:val="auto"/>
        <w:rPr>
          <w:rFonts w:hint="eastAsia" w:ascii="宋体" w:hAnsi="宋体" w:eastAsia="宋体" w:cs="宋体"/>
          <w:color w:val="auto"/>
          <w:spacing w:val="10"/>
          <w:sz w:val="28"/>
          <w:szCs w:val="28"/>
          <w:highlight w:val="none"/>
        </w:rPr>
      </w:pPr>
      <w:r>
        <w:rPr>
          <w:rFonts w:hint="eastAsia" w:ascii="宋体" w:hAnsi="宋体" w:eastAsia="宋体" w:cs="宋体"/>
          <w:color w:val="auto"/>
          <w:spacing w:val="10"/>
          <w:sz w:val="28"/>
          <w:szCs w:val="28"/>
          <w:highlight w:val="none"/>
        </w:rPr>
        <w:t>14.本项目不得转包或擅自分包，一经发现有转包或擅自分包现象，甲方有权立即解除本合同，由此造成的所有损失由乙方自行承担，且承担相应的法律责任。</w:t>
      </w:r>
    </w:p>
    <w:p w14:paraId="0994D08A">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2"/>
        <w:jc w:val="left"/>
        <w:textAlignment w:val="auto"/>
        <w:rPr>
          <w:rFonts w:hint="eastAsia" w:ascii="宋体" w:hAnsi="宋体" w:eastAsia="宋体" w:cs="宋体"/>
          <w:b/>
          <w:bCs w:val="0"/>
          <w:color w:val="auto"/>
          <w:sz w:val="28"/>
          <w:szCs w:val="28"/>
          <w:highlight w:val="none"/>
          <w:lang w:val="en-US" w:eastAsia="zh-CN" w:bidi="ar-SA"/>
        </w:rPr>
      </w:pPr>
      <w:r>
        <w:rPr>
          <w:rFonts w:hint="eastAsia" w:ascii="宋体" w:hAnsi="宋体" w:eastAsia="宋体" w:cs="宋体"/>
          <w:b/>
          <w:bCs w:val="0"/>
          <w:color w:val="auto"/>
          <w:sz w:val="28"/>
          <w:szCs w:val="28"/>
          <w:highlight w:val="none"/>
          <w:lang w:val="en-US" w:eastAsia="zh-CN" w:bidi="ar-SA"/>
        </w:rPr>
        <w:t>第八条 合同解除</w:t>
      </w:r>
    </w:p>
    <w:p w14:paraId="706011D6">
      <w:pPr>
        <w:keepNext w:val="0"/>
        <w:keepLines w:val="0"/>
        <w:pageBreakBefore w:val="0"/>
        <w:kinsoku/>
        <w:wordWrap/>
        <w:overflowPunct/>
        <w:topLinePunct w:val="0"/>
        <w:autoSpaceDE/>
        <w:autoSpaceDN/>
        <w:bidi w:val="0"/>
        <w:adjustRightInd/>
        <w:snapToGrid/>
        <w:spacing w:line="360" w:lineRule="auto"/>
        <w:ind w:firstLine="520"/>
        <w:textAlignment w:val="auto"/>
        <w:rPr>
          <w:rFonts w:hint="eastAsia" w:ascii="宋体" w:hAnsi="宋体" w:eastAsia="宋体" w:cs="宋体"/>
          <w:color w:val="auto"/>
          <w:spacing w:val="10"/>
          <w:sz w:val="28"/>
          <w:szCs w:val="28"/>
          <w:highlight w:val="none"/>
        </w:rPr>
      </w:pPr>
      <w:r>
        <w:rPr>
          <w:rFonts w:hint="eastAsia" w:ascii="宋体" w:hAnsi="宋体" w:eastAsia="宋体" w:cs="宋体"/>
          <w:color w:val="auto"/>
          <w:spacing w:val="10"/>
          <w:sz w:val="28"/>
          <w:szCs w:val="28"/>
          <w:highlight w:val="none"/>
        </w:rPr>
        <w:t>1.如乙方未按管养标准履职尽责，则甲方有权书面通知后解除本合同，按乙方实际已完成的工作支付合同价款。</w:t>
      </w:r>
    </w:p>
    <w:p w14:paraId="15F5E57E">
      <w:pPr>
        <w:keepNext w:val="0"/>
        <w:keepLines w:val="0"/>
        <w:pageBreakBefore w:val="0"/>
        <w:kinsoku/>
        <w:wordWrap/>
        <w:overflowPunct/>
        <w:topLinePunct w:val="0"/>
        <w:autoSpaceDE/>
        <w:autoSpaceDN/>
        <w:bidi w:val="0"/>
        <w:adjustRightInd/>
        <w:snapToGrid/>
        <w:spacing w:line="360" w:lineRule="auto"/>
        <w:ind w:firstLine="520"/>
        <w:textAlignment w:val="auto"/>
        <w:rPr>
          <w:rFonts w:hint="eastAsia" w:ascii="宋体" w:hAnsi="宋体" w:eastAsia="宋体" w:cs="宋体"/>
          <w:color w:val="auto"/>
          <w:spacing w:val="10"/>
          <w:sz w:val="28"/>
          <w:szCs w:val="28"/>
          <w:highlight w:val="none"/>
        </w:rPr>
      </w:pPr>
      <w:r>
        <w:rPr>
          <w:rFonts w:hint="eastAsia" w:ascii="宋体" w:hAnsi="宋体" w:eastAsia="宋体" w:cs="宋体"/>
          <w:color w:val="auto"/>
          <w:spacing w:val="10"/>
          <w:sz w:val="28"/>
          <w:szCs w:val="28"/>
          <w:highlight w:val="none"/>
        </w:rPr>
        <w:t>2.发生严重伤亡安全事故，甲方有权解除合同，管养经费付至</w:t>
      </w:r>
      <w:r>
        <w:rPr>
          <w:rFonts w:hint="eastAsia" w:ascii="宋体" w:hAnsi="宋体" w:eastAsia="宋体" w:cs="宋体"/>
          <w:color w:val="auto"/>
          <w:spacing w:val="10"/>
          <w:sz w:val="28"/>
          <w:szCs w:val="28"/>
          <w:highlight w:val="none"/>
          <w:lang w:val="en-US" w:eastAsia="zh-CN"/>
        </w:rPr>
        <w:t>解除合同当月</w:t>
      </w:r>
      <w:r>
        <w:rPr>
          <w:rFonts w:hint="eastAsia" w:ascii="宋体" w:hAnsi="宋体" w:cs="宋体"/>
          <w:color w:val="auto"/>
          <w:spacing w:val="10"/>
          <w:sz w:val="28"/>
          <w:szCs w:val="28"/>
          <w:highlight w:val="none"/>
          <w:lang w:val="en-US" w:eastAsia="zh-CN"/>
        </w:rPr>
        <w:t>；</w:t>
      </w:r>
    </w:p>
    <w:p w14:paraId="5CCBBFE5">
      <w:pPr>
        <w:keepNext w:val="0"/>
        <w:keepLines w:val="0"/>
        <w:pageBreakBefore w:val="0"/>
        <w:kinsoku/>
        <w:wordWrap/>
        <w:overflowPunct/>
        <w:topLinePunct w:val="0"/>
        <w:autoSpaceDE/>
        <w:autoSpaceDN/>
        <w:bidi w:val="0"/>
        <w:adjustRightInd/>
        <w:snapToGrid/>
        <w:spacing w:line="360" w:lineRule="auto"/>
        <w:ind w:firstLine="520"/>
        <w:textAlignment w:val="auto"/>
        <w:rPr>
          <w:rFonts w:hint="eastAsia" w:ascii="宋体" w:hAnsi="宋体" w:eastAsia="宋体" w:cs="宋体"/>
          <w:color w:val="auto"/>
          <w:spacing w:val="10"/>
          <w:sz w:val="28"/>
          <w:szCs w:val="28"/>
          <w:highlight w:val="none"/>
        </w:rPr>
      </w:pPr>
      <w:r>
        <w:rPr>
          <w:rFonts w:hint="eastAsia" w:ascii="宋体" w:hAnsi="宋体" w:eastAsia="宋体" w:cs="宋体"/>
          <w:color w:val="auto"/>
          <w:spacing w:val="10"/>
          <w:sz w:val="28"/>
          <w:szCs w:val="28"/>
          <w:highlight w:val="none"/>
        </w:rPr>
        <w:t>3.乙方未能在甲方规定时限内针对项目范围内各类信访、投诉、媒体曝光、举报及整改并回复，且因乙方消极响应造成恶劣影响，甲方有权利无条件解除管养合同。</w:t>
      </w:r>
    </w:p>
    <w:p w14:paraId="5780E3FE">
      <w:pPr>
        <w:keepNext w:val="0"/>
        <w:keepLines w:val="0"/>
        <w:pageBreakBefore w:val="0"/>
        <w:kinsoku/>
        <w:wordWrap/>
        <w:overflowPunct/>
        <w:topLinePunct w:val="0"/>
        <w:autoSpaceDE/>
        <w:autoSpaceDN/>
        <w:bidi w:val="0"/>
        <w:adjustRightInd/>
        <w:snapToGrid/>
        <w:spacing w:line="360" w:lineRule="auto"/>
        <w:ind w:firstLine="520"/>
        <w:textAlignment w:val="auto"/>
        <w:rPr>
          <w:rFonts w:hint="eastAsia" w:ascii="宋体" w:hAnsi="宋体" w:eastAsia="宋体" w:cs="宋体"/>
          <w:color w:val="auto"/>
          <w:spacing w:val="10"/>
          <w:sz w:val="28"/>
          <w:szCs w:val="28"/>
          <w:highlight w:val="none"/>
        </w:rPr>
      </w:pPr>
      <w:r>
        <w:rPr>
          <w:rFonts w:hint="eastAsia" w:ascii="宋体" w:hAnsi="宋体" w:eastAsia="宋体" w:cs="宋体"/>
          <w:color w:val="auto"/>
          <w:spacing w:val="10"/>
          <w:sz w:val="28"/>
          <w:szCs w:val="28"/>
          <w:highlight w:val="none"/>
        </w:rPr>
        <w:t>5.如遇上级政策调整，造成管养范围变更，则甲方有权终止合同，养护费用按实结算</w:t>
      </w:r>
      <w:r>
        <w:rPr>
          <w:rFonts w:hint="eastAsia" w:ascii="宋体" w:hAnsi="宋体" w:eastAsia="宋体" w:cs="宋体"/>
          <w:color w:val="auto"/>
          <w:spacing w:val="10"/>
          <w:sz w:val="28"/>
          <w:szCs w:val="28"/>
          <w:highlight w:val="none"/>
          <w:lang w:val="en-US" w:eastAsia="zh-CN"/>
        </w:rPr>
        <w:t>且甲方不承担违约责任</w:t>
      </w:r>
      <w:r>
        <w:rPr>
          <w:rFonts w:hint="eastAsia" w:ascii="宋体" w:hAnsi="宋体" w:eastAsia="宋体" w:cs="宋体"/>
          <w:color w:val="auto"/>
          <w:spacing w:val="10"/>
          <w:sz w:val="28"/>
          <w:szCs w:val="28"/>
          <w:highlight w:val="none"/>
        </w:rPr>
        <w:t>。</w:t>
      </w:r>
    </w:p>
    <w:p w14:paraId="19A4F330">
      <w:pPr>
        <w:keepNext w:val="0"/>
        <w:keepLines w:val="0"/>
        <w:pageBreakBefore w:val="0"/>
        <w:kinsoku/>
        <w:wordWrap/>
        <w:overflowPunct/>
        <w:topLinePunct w:val="0"/>
        <w:autoSpaceDE/>
        <w:autoSpaceDN/>
        <w:bidi w:val="0"/>
        <w:adjustRightInd/>
        <w:snapToGrid/>
        <w:spacing w:line="360" w:lineRule="auto"/>
        <w:ind w:firstLine="520"/>
        <w:textAlignment w:val="auto"/>
        <w:rPr>
          <w:rFonts w:hint="eastAsia" w:ascii="宋体" w:hAnsi="宋体" w:eastAsia="宋体" w:cs="宋体"/>
          <w:color w:val="auto"/>
          <w:spacing w:val="10"/>
          <w:sz w:val="28"/>
          <w:szCs w:val="28"/>
          <w:highlight w:val="none"/>
        </w:rPr>
      </w:pPr>
      <w:r>
        <w:rPr>
          <w:rFonts w:hint="eastAsia" w:ascii="宋体" w:hAnsi="宋体" w:eastAsia="宋体" w:cs="宋体"/>
          <w:color w:val="auto"/>
          <w:spacing w:val="10"/>
          <w:sz w:val="28"/>
          <w:szCs w:val="28"/>
          <w:highlight w:val="none"/>
        </w:rPr>
        <w:t>6.甲方未能足额支付本合同价款的，乙方有权单方解除本合同，并且要求甲方赔偿损失。</w:t>
      </w:r>
    </w:p>
    <w:p w14:paraId="26BC0BE9">
      <w:pPr>
        <w:keepNext w:val="0"/>
        <w:keepLines w:val="0"/>
        <w:pageBreakBefore w:val="0"/>
        <w:kinsoku/>
        <w:wordWrap/>
        <w:overflowPunct/>
        <w:topLinePunct w:val="0"/>
        <w:autoSpaceDE/>
        <w:autoSpaceDN/>
        <w:bidi w:val="0"/>
        <w:adjustRightInd/>
        <w:snapToGrid/>
        <w:spacing w:line="360" w:lineRule="auto"/>
        <w:ind w:firstLine="520"/>
        <w:textAlignment w:val="auto"/>
        <w:rPr>
          <w:rFonts w:hint="eastAsia" w:ascii="宋体" w:hAnsi="宋体" w:eastAsia="宋体" w:cs="宋体"/>
          <w:color w:val="auto"/>
          <w:spacing w:val="10"/>
          <w:sz w:val="28"/>
          <w:szCs w:val="28"/>
          <w:highlight w:val="none"/>
        </w:rPr>
      </w:pPr>
      <w:r>
        <w:rPr>
          <w:rFonts w:hint="eastAsia" w:ascii="宋体" w:hAnsi="宋体" w:eastAsia="宋体" w:cs="宋体"/>
          <w:color w:val="auto"/>
          <w:spacing w:val="10"/>
          <w:sz w:val="28"/>
          <w:szCs w:val="28"/>
          <w:highlight w:val="none"/>
        </w:rPr>
        <w:t>7.根据南京市相关改革文件要求，如遇政策性调整需对相关养护设施进行市场化招标，则合同</w:t>
      </w:r>
      <w:r>
        <w:rPr>
          <w:rFonts w:hint="eastAsia" w:ascii="宋体" w:hAnsi="宋体" w:eastAsia="宋体" w:cs="宋体"/>
          <w:color w:val="auto"/>
          <w:spacing w:val="10"/>
          <w:sz w:val="28"/>
          <w:szCs w:val="28"/>
          <w:highlight w:val="none"/>
          <w:lang w:val="en-US" w:eastAsia="zh-CN"/>
        </w:rPr>
        <w:t>可提前</w:t>
      </w:r>
      <w:r>
        <w:rPr>
          <w:rFonts w:hint="eastAsia" w:ascii="宋体" w:hAnsi="宋体" w:eastAsia="宋体" w:cs="宋体"/>
          <w:color w:val="auto"/>
          <w:spacing w:val="10"/>
          <w:sz w:val="28"/>
          <w:szCs w:val="28"/>
          <w:highlight w:val="none"/>
        </w:rPr>
        <w:t>解除</w:t>
      </w:r>
      <w:r>
        <w:rPr>
          <w:rFonts w:hint="eastAsia" w:ascii="宋体" w:hAnsi="宋体" w:eastAsia="宋体" w:cs="宋体"/>
          <w:color w:val="auto"/>
          <w:spacing w:val="10"/>
          <w:sz w:val="28"/>
          <w:szCs w:val="28"/>
          <w:highlight w:val="none"/>
          <w:lang w:eastAsia="zh-CN"/>
        </w:rPr>
        <w:t>，</w:t>
      </w:r>
      <w:r>
        <w:rPr>
          <w:rFonts w:hint="eastAsia" w:ascii="宋体" w:hAnsi="宋体" w:eastAsia="宋体" w:cs="宋体"/>
          <w:color w:val="auto"/>
          <w:spacing w:val="10"/>
          <w:sz w:val="28"/>
          <w:szCs w:val="28"/>
          <w:highlight w:val="none"/>
          <w:lang w:val="en-US" w:eastAsia="zh-CN"/>
        </w:rPr>
        <w:t>双方互不承担违约责任</w:t>
      </w:r>
      <w:r>
        <w:rPr>
          <w:rFonts w:hint="eastAsia" w:ascii="宋体" w:hAnsi="宋体" w:eastAsia="宋体" w:cs="宋体"/>
          <w:color w:val="auto"/>
          <w:spacing w:val="10"/>
          <w:sz w:val="28"/>
          <w:szCs w:val="28"/>
          <w:highlight w:val="none"/>
        </w:rPr>
        <w:t>。</w:t>
      </w:r>
    </w:p>
    <w:p w14:paraId="7DA842D7">
      <w:pPr>
        <w:keepNext w:val="0"/>
        <w:keepLines w:val="0"/>
        <w:pageBreakBefore w:val="0"/>
        <w:kinsoku/>
        <w:wordWrap/>
        <w:overflowPunct/>
        <w:topLinePunct w:val="0"/>
        <w:autoSpaceDE/>
        <w:autoSpaceDN/>
        <w:bidi w:val="0"/>
        <w:adjustRightInd/>
        <w:snapToGrid/>
        <w:spacing w:line="360" w:lineRule="auto"/>
        <w:ind w:firstLine="482"/>
        <w:textAlignment w:val="auto"/>
        <w:rPr>
          <w:rStyle w:val="245"/>
          <w:rFonts w:hint="eastAsia" w:ascii="宋体" w:hAnsi="宋体" w:eastAsia="宋体" w:cs="宋体"/>
          <w:color w:val="auto"/>
          <w:sz w:val="28"/>
          <w:szCs w:val="28"/>
          <w:highlight w:val="none"/>
        </w:rPr>
      </w:pPr>
      <w:r>
        <w:rPr>
          <w:rStyle w:val="245"/>
          <w:rFonts w:hint="eastAsia" w:ascii="宋体" w:hAnsi="宋体" w:eastAsia="宋体" w:cs="宋体"/>
          <w:b/>
          <w:bCs/>
          <w:color w:val="auto"/>
          <w:sz w:val="28"/>
          <w:szCs w:val="28"/>
          <w:highlight w:val="none"/>
        </w:rPr>
        <w:t>第</w:t>
      </w:r>
      <w:r>
        <w:rPr>
          <w:rStyle w:val="245"/>
          <w:rFonts w:hint="eastAsia" w:ascii="宋体" w:hAnsi="宋体" w:eastAsia="宋体" w:cs="宋体"/>
          <w:b/>
          <w:bCs/>
          <w:color w:val="auto"/>
          <w:sz w:val="28"/>
          <w:szCs w:val="28"/>
          <w:highlight w:val="none"/>
          <w:lang w:val="en-US" w:eastAsia="zh-CN"/>
        </w:rPr>
        <w:t>九</w:t>
      </w:r>
      <w:r>
        <w:rPr>
          <w:rStyle w:val="245"/>
          <w:rFonts w:hint="eastAsia" w:ascii="宋体" w:hAnsi="宋体" w:eastAsia="宋体" w:cs="宋体"/>
          <w:b/>
          <w:bCs/>
          <w:color w:val="auto"/>
          <w:sz w:val="28"/>
          <w:szCs w:val="28"/>
          <w:highlight w:val="none"/>
        </w:rPr>
        <w:t>条 争议的解决</w:t>
      </w:r>
    </w:p>
    <w:p w14:paraId="682816D5">
      <w:pPr>
        <w:keepNext w:val="0"/>
        <w:keepLines w:val="0"/>
        <w:pageBreakBefore w:val="0"/>
        <w:kinsoku/>
        <w:wordWrap/>
        <w:overflowPunct/>
        <w:topLinePunct w:val="0"/>
        <w:autoSpaceDE/>
        <w:autoSpaceDN/>
        <w:bidi w:val="0"/>
        <w:adjustRightInd/>
        <w:snapToGrid/>
        <w:spacing w:line="360" w:lineRule="auto"/>
        <w:ind w:firstLine="480"/>
        <w:textAlignment w:val="auto"/>
        <w:rPr>
          <w:rStyle w:val="245"/>
          <w:rFonts w:hint="eastAsia" w:ascii="宋体" w:hAnsi="宋体" w:eastAsia="宋体" w:cs="宋体"/>
          <w:color w:val="auto"/>
          <w:sz w:val="28"/>
          <w:szCs w:val="28"/>
          <w:highlight w:val="none"/>
        </w:rPr>
      </w:pPr>
      <w:r>
        <w:rPr>
          <w:rStyle w:val="245"/>
          <w:rFonts w:hint="eastAsia" w:ascii="宋体" w:hAnsi="宋体" w:eastAsia="宋体" w:cs="宋体"/>
          <w:color w:val="auto"/>
          <w:sz w:val="28"/>
          <w:szCs w:val="28"/>
          <w:highlight w:val="none"/>
        </w:rPr>
        <w:t>1、因履行本合同引起的或与本合同有关的争议，甲、乙双方应首先通过友好协商解决，如果协商不能解决争议，则采取以下第（1）种方式解决争议：</w:t>
      </w:r>
    </w:p>
    <w:p w14:paraId="125D8957">
      <w:pPr>
        <w:keepNext w:val="0"/>
        <w:keepLines w:val="0"/>
        <w:pageBreakBefore w:val="0"/>
        <w:kinsoku/>
        <w:wordWrap/>
        <w:overflowPunct/>
        <w:topLinePunct w:val="0"/>
        <w:autoSpaceDE/>
        <w:autoSpaceDN/>
        <w:bidi w:val="0"/>
        <w:adjustRightInd/>
        <w:snapToGrid/>
        <w:spacing w:line="360" w:lineRule="auto"/>
        <w:ind w:firstLine="480"/>
        <w:textAlignment w:val="auto"/>
        <w:rPr>
          <w:rStyle w:val="245"/>
          <w:rFonts w:hint="eastAsia" w:ascii="宋体" w:hAnsi="宋体" w:eastAsia="宋体" w:cs="宋体"/>
          <w:color w:val="auto"/>
          <w:sz w:val="28"/>
          <w:szCs w:val="28"/>
          <w:highlight w:val="none"/>
        </w:rPr>
      </w:pPr>
      <w:r>
        <w:rPr>
          <w:rStyle w:val="245"/>
          <w:rFonts w:hint="eastAsia" w:ascii="宋体" w:hAnsi="宋体" w:eastAsia="宋体" w:cs="宋体"/>
          <w:color w:val="auto"/>
          <w:sz w:val="28"/>
          <w:szCs w:val="28"/>
          <w:highlight w:val="none"/>
        </w:rPr>
        <w:t>（1）</w:t>
      </w:r>
      <w:r>
        <w:rPr>
          <w:rStyle w:val="245"/>
          <w:rFonts w:hint="eastAsia" w:ascii="宋体" w:hAnsi="宋体" w:eastAsia="宋体" w:cs="宋体"/>
          <w:color w:val="auto"/>
          <w:sz w:val="28"/>
          <w:szCs w:val="28"/>
          <w:highlight w:val="none"/>
        </w:rPr>
        <w:t>向</w:t>
      </w:r>
      <w:r>
        <w:rPr>
          <w:rStyle w:val="245"/>
          <w:rFonts w:hint="eastAsia" w:ascii="宋体" w:hAnsi="宋体" w:cs="宋体"/>
          <w:color w:val="auto"/>
          <w:sz w:val="28"/>
          <w:szCs w:val="28"/>
          <w:highlight w:val="none"/>
          <w:lang w:val="en-US" w:eastAsia="zh-CN"/>
        </w:rPr>
        <w:t>南京市浦口区</w:t>
      </w:r>
      <w:r>
        <w:rPr>
          <w:rStyle w:val="245"/>
          <w:rFonts w:hint="eastAsia" w:ascii="宋体" w:hAnsi="宋体" w:eastAsia="宋体" w:cs="宋体"/>
          <w:color w:val="auto"/>
          <w:sz w:val="28"/>
          <w:szCs w:val="28"/>
          <w:highlight w:val="none"/>
        </w:rPr>
        <w:t>人民法院</w:t>
      </w:r>
      <w:r>
        <w:rPr>
          <w:rStyle w:val="245"/>
          <w:rFonts w:hint="eastAsia" w:ascii="宋体" w:hAnsi="宋体" w:eastAsia="宋体" w:cs="宋体"/>
          <w:color w:val="auto"/>
          <w:sz w:val="28"/>
          <w:szCs w:val="28"/>
          <w:highlight w:val="none"/>
        </w:rPr>
        <w:t>提起诉讼；</w:t>
      </w:r>
    </w:p>
    <w:p w14:paraId="64CE7AFE">
      <w:pPr>
        <w:keepNext w:val="0"/>
        <w:keepLines w:val="0"/>
        <w:pageBreakBefore w:val="0"/>
        <w:kinsoku/>
        <w:wordWrap/>
        <w:overflowPunct/>
        <w:topLinePunct w:val="0"/>
        <w:autoSpaceDE/>
        <w:autoSpaceDN/>
        <w:bidi w:val="0"/>
        <w:adjustRightInd/>
        <w:snapToGrid/>
        <w:spacing w:line="360" w:lineRule="auto"/>
        <w:ind w:firstLine="480"/>
        <w:textAlignment w:val="auto"/>
        <w:rPr>
          <w:rStyle w:val="245"/>
          <w:rFonts w:hint="eastAsia" w:ascii="宋体" w:hAnsi="宋体" w:eastAsia="宋体" w:cs="宋体"/>
          <w:color w:val="auto"/>
          <w:sz w:val="28"/>
          <w:szCs w:val="28"/>
          <w:highlight w:val="none"/>
        </w:rPr>
      </w:pPr>
      <w:r>
        <w:rPr>
          <w:rStyle w:val="245"/>
          <w:rFonts w:hint="eastAsia" w:ascii="宋体" w:hAnsi="宋体" w:eastAsia="宋体" w:cs="宋体"/>
          <w:color w:val="auto"/>
          <w:sz w:val="28"/>
          <w:szCs w:val="28"/>
          <w:highlight w:val="none"/>
        </w:rPr>
        <w:t>（2）向南京仲裁委员会按其仲裁规则申请仲裁；</w:t>
      </w:r>
    </w:p>
    <w:p w14:paraId="6661A7DC">
      <w:pPr>
        <w:keepNext w:val="0"/>
        <w:keepLines w:val="0"/>
        <w:pageBreakBefore w:val="0"/>
        <w:kinsoku/>
        <w:wordWrap/>
        <w:overflowPunct/>
        <w:topLinePunct w:val="0"/>
        <w:autoSpaceDE/>
        <w:autoSpaceDN/>
        <w:bidi w:val="0"/>
        <w:adjustRightInd/>
        <w:snapToGrid/>
        <w:spacing w:line="360" w:lineRule="auto"/>
        <w:ind w:firstLine="480"/>
        <w:textAlignment w:val="auto"/>
        <w:rPr>
          <w:rStyle w:val="245"/>
          <w:rFonts w:hint="eastAsia" w:ascii="宋体" w:hAnsi="宋体" w:eastAsia="宋体" w:cs="宋体"/>
          <w:color w:val="auto"/>
          <w:sz w:val="28"/>
          <w:szCs w:val="28"/>
          <w:highlight w:val="none"/>
        </w:rPr>
      </w:pPr>
      <w:r>
        <w:rPr>
          <w:rStyle w:val="245"/>
          <w:rFonts w:hint="eastAsia" w:ascii="宋体" w:hAnsi="宋体" w:eastAsia="宋体" w:cs="宋体"/>
          <w:color w:val="auto"/>
          <w:sz w:val="28"/>
          <w:szCs w:val="28"/>
          <w:highlight w:val="none"/>
        </w:rPr>
        <w:t>如没有约定，默认采取第2种方式解决争议；</w:t>
      </w:r>
    </w:p>
    <w:p w14:paraId="3FC25CA4">
      <w:pPr>
        <w:keepNext w:val="0"/>
        <w:keepLines w:val="0"/>
        <w:pageBreakBefore w:val="0"/>
        <w:kinsoku/>
        <w:wordWrap/>
        <w:overflowPunct/>
        <w:topLinePunct w:val="0"/>
        <w:autoSpaceDE/>
        <w:autoSpaceDN/>
        <w:bidi w:val="0"/>
        <w:adjustRightInd/>
        <w:snapToGrid/>
        <w:spacing w:line="360" w:lineRule="auto"/>
        <w:ind w:firstLine="480"/>
        <w:textAlignment w:val="auto"/>
        <w:rPr>
          <w:rStyle w:val="245"/>
          <w:rFonts w:hint="eastAsia" w:ascii="宋体" w:hAnsi="宋体" w:eastAsia="宋体" w:cs="宋体"/>
          <w:color w:val="auto"/>
          <w:sz w:val="28"/>
          <w:szCs w:val="28"/>
          <w:highlight w:val="none"/>
        </w:rPr>
      </w:pPr>
      <w:r>
        <w:rPr>
          <w:rStyle w:val="245"/>
          <w:rFonts w:hint="eastAsia" w:ascii="宋体" w:hAnsi="宋体" w:eastAsia="宋体" w:cs="宋体"/>
          <w:color w:val="auto"/>
          <w:sz w:val="28"/>
          <w:szCs w:val="28"/>
          <w:highlight w:val="none"/>
        </w:rPr>
        <w:t>2、在仲裁期间，本合同应继续履行；</w:t>
      </w:r>
    </w:p>
    <w:p w14:paraId="36BBBE76">
      <w:pPr>
        <w:keepNext w:val="0"/>
        <w:keepLines w:val="0"/>
        <w:pageBreakBefore w:val="0"/>
        <w:kinsoku/>
        <w:wordWrap/>
        <w:overflowPunct/>
        <w:topLinePunct w:val="0"/>
        <w:autoSpaceDE/>
        <w:autoSpaceDN/>
        <w:bidi w:val="0"/>
        <w:adjustRightInd/>
        <w:snapToGrid/>
        <w:spacing w:line="360" w:lineRule="auto"/>
        <w:ind w:firstLine="482"/>
        <w:textAlignment w:val="auto"/>
        <w:rPr>
          <w:rStyle w:val="245"/>
          <w:rFonts w:hint="eastAsia" w:ascii="宋体" w:hAnsi="宋体" w:eastAsia="宋体" w:cs="宋体"/>
          <w:b/>
          <w:bCs/>
          <w:color w:val="auto"/>
          <w:sz w:val="28"/>
          <w:szCs w:val="28"/>
          <w:highlight w:val="none"/>
        </w:rPr>
      </w:pPr>
      <w:r>
        <w:rPr>
          <w:rStyle w:val="245"/>
          <w:rFonts w:hint="eastAsia" w:ascii="宋体" w:hAnsi="宋体" w:eastAsia="宋体" w:cs="宋体"/>
          <w:b/>
          <w:bCs/>
          <w:color w:val="auto"/>
          <w:sz w:val="28"/>
          <w:szCs w:val="28"/>
          <w:highlight w:val="none"/>
        </w:rPr>
        <w:t>第</w:t>
      </w:r>
      <w:r>
        <w:rPr>
          <w:rStyle w:val="245"/>
          <w:rFonts w:hint="eastAsia" w:ascii="宋体" w:hAnsi="宋体" w:eastAsia="宋体" w:cs="宋体"/>
          <w:b/>
          <w:bCs/>
          <w:color w:val="auto"/>
          <w:sz w:val="28"/>
          <w:szCs w:val="28"/>
          <w:highlight w:val="none"/>
          <w:lang w:val="en-US" w:eastAsia="zh-CN"/>
        </w:rPr>
        <w:t>十</w:t>
      </w:r>
      <w:r>
        <w:rPr>
          <w:rStyle w:val="245"/>
          <w:rFonts w:hint="eastAsia" w:ascii="宋体" w:hAnsi="宋体" w:eastAsia="宋体" w:cs="宋体"/>
          <w:b/>
          <w:bCs/>
          <w:color w:val="auto"/>
          <w:sz w:val="28"/>
          <w:szCs w:val="28"/>
          <w:highlight w:val="none"/>
        </w:rPr>
        <w:t>条</w:t>
      </w:r>
      <w:r>
        <w:rPr>
          <w:rStyle w:val="245"/>
          <w:rFonts w:hint="eastAsia" w:ascii="宋体" w:hAnsi="宋体" w:eastAsia="宋体" w:cs="宋体"/>
          <w:b/>
          <w:bCs/>
          <w:color w:val="auto"/>
          <w:sz w:val="28"/>
          <w:szCs w:val="28"/>
          <w:highlight w:val="none"/>
          <w:lang w:val="en-US" w:eastAsia="zh-CN"/>
        </w:rPr>
        <w:t xml:space="preserve"> </w:t>
      </w:r>
      <w:r>
        <w:rPr>
          <w:rStyle w:val="245"/>
          <w:rFonts w:hint="eastAsia" w:ascii="宋体" w:hAnsi="宋体" w:eastAsia="宋体" w:cs="宋体"/>
          <w:b/>
          <w:bCs/>
          <w:color w:val="auto"/>
          <w:sz w:val="28"/>
          <w:szCs w:val="28"/>
          <w:highlight w:val="none"/>
        </w:rPr>
        <w:t>诚实信用</w:t>
      </w:r>
    </w:p>
    <w:p w14:paraId="51BEC5D4">
      <w:pPr>
        <w:keepNext w:val="0"/>
        <w:keepLines w:val="0"/>
        <w:pageBreakBefore w:val="0"/>
        <w:kinsoku/>
        <w:wordWrap/>
        <w:overflowPunct/>
        <w:topLinePunct w:val="0"/>
        <w:autoSpaceDE/>
        <w:autoSpaceDN/>
        <w:bidi w:val="0"/>
        <w:adjustRightInd/>
        <w:snapToGrid/>
        <w:spacing w:line="360" w:lineRule="auto"/>
        <w:ind w:firstLine="480"/>
        <w:textAlignment w:val="auto"/>
        <w:rPr>
          <w:rStyle w:val="245"/>
          <w:rFonts w:hint="eastAsia" w:ascii="宋体" w:hAnsi="宋体" w:eastAsia="宋体" w:cs="宋体"/>
          <w:color w:val="auto"/>
          <w:sz w:val="28"/>
          <w:szCs w:val="28"/>
          <w:highlight w:val="none"/>
        </w:rPr>
      </w:pPr>
      <w:r>
        <w:rPr>
          <w:rStyle w:val="245"/>
          <w:rFonts w:hint="eastAsia" w:ascii="宋体" w:hAnsi="宋体" w:eastAsia="宋体" w:cs="宋体"/>
          <w:color w:val="auto"/>
          <w:sz w:val="28"/>
          <w:szCs w:val="28"/>
          <w:highlight w:val="none"/>
        </w:rPr>
        <w:t>乙方应诚实信用，严格按照竞争性</w:t>
      </w:r>
      <w:r>
        <w:rPr>
          <w:rStyle w:val="245"/>
          <w:rFonts w:hint="eastAsia" w:ascii="宋体" w:hAnsi="宋体" w:eastAsia="宋体" w:cs="宋体"/>
          <w:color w:val="auto"/>
          <w:sz w:val="28"/>
          <w:szCs w:val="28"/>
          <w:highlight w:val="none"/>
          <w:lang w:val="en-US" w:eastAsia="zh-CN"/>
        </w:rPr>
        <w:t>谈判</w:t>
      </w:r>
      <w:r>
        <w:rPr>
          <w:rStyle w:val="245"/>
          <w:rFonts w:hint="eastAsia" w:ascii="宋体" w:hAnsi="宋体" w:eastAsia="宋体" w:cs="宋体"/>
          <w:color w:val="auto"/>
          <w:sz w:val="28"/>
          <w:szCs w:val="28"/>
          <w:highlight w:val="none"/>
        </w:rPr>
        <w:t>文件要求和响应承诺履行合同，不向甲方进行商业贿赂或者提供不正当利益；</w:t>
      </w:r>
    </w:p>
    <w:p w14:paraId="506E4E69">
      <w:pPr>
        <w:keepNext w:val="0"/>
        <w:keepLines w:val="0"/>
        <w:pageBreakBefore w:val="0"/>
        <w:kinsoku/>
        <w:wordWrap/>
        <w:overflowPunct/>
        <w:topLinePunct w:val="0"/>
        <w:autoSpaceDE/>
        <w:autoSpaceDN/>
        <w:bidi w:val="0"/>
        <w:adjustRightInd/>
        <w:snapToGrid/>
        <w:spacing w:line="360" w:lineRule="auto"/>
        <w:ind w:firstLine="482"/>
        <w:textAlignment w:val="auto"/>
        <w:rPr>
          <w:rStyle w:val="245"/>
          <w:rFonts w:hint="eastAsia" w:ascii="宋体" w:hAnsi="宋体" w:eastAsia="宋体" w:cs="宋体"/>
          <w:b/>
          <w:bCs/>
          <w:color w:val="auto"/>
          <w:sz w:val="28"/>
          <w:szCs w:val="28"/>
          <w:highlight w:val="none"/>
        </w:rPr>
      </w:pPr>
      <w:r>
        <w:rPr>
          <w:rStyle w:val="245"/>
          <w:rFonts w:hint="eastAsia" w:ascii="宋体" w:hAnsi="宋体" w:eastAsia="宋体" w:cs="宋体"/>
          <w:b/>
          <w:bCs/>
          <w:color w:val="auto"/>
          <w:sz w:val="28"/>
          <w:szCs w:val="28"/>
          <w:highlight w:val="none"/>
        </w:rPr>
        <w:t>第十</w:t>
      </w:r>
      <w:r>
        <w:rPr>
          <w:rStyle w:val="245"/>
          <w:rFonts w:hint="eastAsia" w:ascii="宋体" w:hAnsi="宋体" w:eastAsia="宋体" w:cs="宋体"/>
          <w:b/>
          <w:bCs/>
          <w:color w:val="auto"/>
          <w:sz w:val="28"/>
          <w:szCs w:val="28"/>
          <w:highlight w:val="none"/>
          <w:lang w:val="en-US" w:eastAsia="zh-CN"/>
        </w:rPr>
        <w:t>一</w:t>
      </w:r>
      <w:r>
        <w:rPr>
          <w:rStyle w:val="245"/>
          <w:rFonts w:hint="eastAsia" w:ascii="宋体" w:hAnsi="宋体" w:eastAsia="宋体" w:cs="宋体"/>
          <w:b/>
          <w:bCs/>
          <w:color w:val="auto"/>
          <w:sz w:val="28"/>
          <w:szCs w:val="28"/>
          <w:highlight w:val="none"/>
        </w:rPr>
        <w:t>条 其他事项</w:t>
      </w:r>
    </w:p>
    <w:p w14:paraId="354F3E9C">
      <w:pPr>
        <w:keepNext w:val="0"/>
        <w:keepLines w:val="0"/>
        <w:pageBreakBefore w:val="0"/>
        <w:kinsoku/>
        <w:wordWrap/>
        <w:overflowPunct/>
        <w:topLinePunct w:val="0"/>
        <w:autoSpaceDE/>
        <w:autoSpaceDN/>
        <w:bidi w:val="0"/>
        <w:adjustRightInd/>
        <w:snapToGrid/>
        <w:spacing w:line="360" w:lineRule="auto"/>
        <w:ind w:firstLine="480"/>
        <w:textAlignment w:val="auto"/>
        <w:rPr>
          <w:rStyle w:val="245"/>
          <w:rFonts w:hint="eastAsia" w:ascii="宋体" w:hAnsi="宋体" w:eastAsia="宋体" w:cs="宋体"/>
          <w:color w:val="auto"/>
          <w:sz w:val="28"/>
          <w:szCs w:val="28"/>
          <w:highlight w:val="none"/>
        </w:rPr>
      </w:pPr>
      <w:r>
        <w:rPr>
          <w:rStyle w:val="245"/>
          <w:rFonts w:hint="eastAsia" w:ascii="宋体" w:hAnsi="宋体" w:eastAsia="宋体" w:cs="宋体"/>
          <w:color w:val="auto"/>
          <w:sz w:val="28"/>
          <w:szCs w:val="28"/>
          <w:highlight w:val="none"/>
        </w:rPr>
        <w:t>1、本合同一式</w:t>
      </w:r>
      <w:r>
        <w:rPr>
          <w:rStyle w:val="245"/>
          <w:rFonts w:hint="eastAsia" w:ascii="宋体" w:hAnsi="宋体" w:cs="宋体"/>
          <w:color w:val="auto"/>
          <w:sz w:val="28"/>
          <w:szCs w:val="28"/>
          <w:highlight w:val="none"/>
          <w:lang w:val="en-US" w:eastAsia="zh-CN"/>
        </w:rPr>
        <w:t>陆</w:t>
      </w:r>
      <w:r>
        <w:rPr>
          <w:rStyle w:val="245"/>
          <w:rFonts w:hint="eastAsia" w:ascii="宋体" w:hAnsi="宋体" w:eastAsia="宋体" w:cs="宋体"/>
          <w:color w:val="auto"/>
          <w:sz w:val="28"/>
          <w:szCs w:val="28"/>
          <w:highlight w:val="none"/>
        </w:rPr>
        <w:t>份，甲方执</w:t>
      </w:r>
      <w:r>
        <w:rPr>
          <w:rStyle w:val="245"/>
          <w:rFonts w:hint="eastAsia" w:ascii="宋体" w:hAnsi="宋体" w:eastAsia="宋体" w:cs="宋体"/>
          <w:color w:val="auto"/>
          <w:sz w:val="28"/>
          <w:szCs w:val="28"/>
          <w:highlight w:val="none"/>
          <w:lang w:val="en-US" w:eastAsia="zh-CN"/>
        </w:rPr>
        <w:t>肆</w:t>
      </w:r>
      <w:r>
        <w:rPr>
          <w:rStyle w:val="245"/>
          <w:rFonts w:hint="eastAsia" w:ascii="宋体" w:hAnsi="宋体" w:eastAsia="宋体" w:cs="宋体"/>
          <w:color w:val="auto"/>
          <w:sz w:val="28"/>
          <w:szCs w:val="28"/>
          <w:highlight w:val="none"/>
        </w:rPr>
        <w:t>份</w:t>
      </w:r>
      <w:r>
        <w:rPr>
          <w:rStyle w:val="245"/>
          <w:rFonts w:hint="eastAsia" w:ascii="宋体" w:hAnsi="宋体" w:eastAsia="宋体" w:cs="宋体"/>
          <w:color w:val="auto"/>
          <w:sz w:val="28"/>
          <w:szCs w:val="28"/>
          <w:highlight w:val="none"/>
        </w:rPr>
        <w:t>，</w:t>
      </w:r>
      <w:r>
        <w:rPr>
          <w:rStyle w:val="245"/>
          <w:rFonts w:hint="eastAsia" w:ascii="宋体" w:hAnsi="宋体" w:eastAsia="宋体" w:cs="宋体"/>
          <w:color w:val="auto"/>
          <w:sz w:val="28"/>
          <w:szCs w:val="28"/>
          <w:highlight w:val="none"/>
          <w:lang w:val="en-US" w:eastAsia="zh-CN"/>
        </w:rPr>
        <w:t>乙方执贰份</w:t>
      </w:r>
      <w:r>
        <w:rPr>
          <w:rStyle w:val="245"/>
          <w:rFonts w:hint="eastAsia" w:ascii="宋体" w:hAnsi="宋体" w:eastAsia="宋体" w:cs="宋体"/>
          <w:color w:val="auto"/>
          <w:sz w:val="28"/>
          <w:szCs w:val="28"/>
          <w:highlight w:val="none"/>
        </w:rPr>
        <w:t>；</w:t>
      </w:r>
    </w:p>
    <w:p w14:paraId="4F69E976">
      <w:pPr>
        <w:keepNext w:val="0"/>
        <w:keepLines w:val="0"/>
        <w:pageBreakBefore w:val="0"/>
        <w:kinsoku/>
        <w:wordWrap/>
        <w:overflowPunct/>
        <w:topLinePunct w:val="0"/>
        <w:autoSpaceDE/>
        <w:autoSpaceDN/>
        <w:bidi w:val="0"/>
        <w:adjustRightInd/>
        <w:snapToGrid/>
        <w:spacing w:line="360" w:lineRule="auto"/>
        <w:ind w:firstLine="480"/>
        <w:textAlignment w:val="auto"/>
        <w:rPr>
          <w:rStyle w:val="245"/>
          <w:rFonts w:hint="eastAsia" w:ascii="宋体" w:hAnsi="宋体" w:eastAsia="宋体" w:cs="宋体"/>
          <w:color w:val="auto"/>
          <w:sz w:val="28"/>
          <w:szCs w:val="28"/>
          <w:highlight w:val="none"/>
        </w:rPr>
      </w:pPr>
      <w:r>
        <w:rPr>
          <w:rStyle w:val="245"/>
          <w:rFonts w:hint="eastAsia" w:ascii="宋体" w:hAnsi="宋体" w:cs="宋体"/>
          <w:color w:val="auto"/>
          <w:sz w:val="28"/>
          <w:szCs w:val="28"/>
          <w:highlight w:val="none"/>
          <w:lang w:val="en-US" w:eastAsia="zh-CN"/>
        </w:rPr>
        <w:t>2</w:t>
      </w:r>
      <w:r>
        <w:rPr>
          <w:rStyle w:val="245"/>
          <w:rFonts w:hint="eastAsia" w:ascii="宋体" w:hAnsi="宋体" w:eastAsia="宋体" w:cs="宋体"/>
          <w:color w:val="auto"/>
          <w:sz w:val="28"/>
          <w:szCs w:val="28"/>
          <w:highlight w:val="none"/>
        </w:rPr>
        <w:t>、本合同应按照中华人民共和国的现行法律进行解释；</w:t>
      </w:r>
    </w:p>
    <w:p w14:paraId="40E94B93">
      <w:pPr>
        <w:keepNext w:val="0"/>
        <w:keepLines w:val="0"/>
        <w:pageBreakBefore w:val="0"/>
        <w:kinsoku/>
        <w:wordWrap/>
        <w:overflowPunct/>
        <w:topLinePunct w:val="0"/>
        <w:autoSpaceDE/>
        <w:autoSpaceDN/>
        <w:bidi w:val="0"/>
        <w:adjustRightInd/>
        <w:snapToGrid/>
        <w:spacing w:line="360" w:lineRule="auto"/>
        <w:ind w:firstLine="480"/>
        <w:textAlignment w:val="auto"/>
        <w:rPr>
          <w:rStyle w:val="245"/>
          <w:rFonts w:hint="eastAsia" w:ascii="宋体" w:hAnsi="宋体" w:eastAsia="宋体" w:cs="宋体"/>
          <w:bCs/>
          <w:color w:val="auto"/>
          <w:sz w:val="28"/>
          <w:szCs w:val="28"/>
          <w:highlight w:val="none"/>
          <w:lang w:eastAsia="zh-CN"/>
        </w:rPr>
      </w:pPr>
      <w:r>
        <w:rPr>
          <w:rStyle w:val="245"/>
          <w:rFonts w:hint="eastAsia" w:ascii="宋体" w:hAnsi="宋体" w:cs="宋体"/>
          <w:bCs/>
          <w:color w:val="auto"/>
          <w:sz w:val="28"/>
          <w:szCs w:val="28"/>
          <w:highlight w:val="none"/>
          <w:lang w:val="en-US" w:eastAsia="zh-CN"/>
        </w:rPr>
        <w:t>3</w:t>
      </w:r>
      <w:r>
        <w:rPr>
          <w:rStyle w:val="245"/>
          <w:rFonts w:hint="eastAsia" w:ascii="宋体" w:hAnsi="宋体" w:eastAsia="宋体" w:cs="宋体"/>
          <w:bCs/>
          <w:color w:val="auto"/>
          <w:sz w:val="28"/>
          <w:szCs w:val="28"/>
          <w:highlight w:val="none"/>
        </w:rPr>
        <w:t>、本合同一经双方签字盖章后，即发生法律效力</w:t>
      </w:r>
      <w:r>
        <w:rPr>
          <w:rStyle w:val="245"/>
          <w:rFonts w:hint="eastAsia" w:ascii="宋体" w:hAnsi="宋体" w:eastAsia="宋体" w:cs="宋体"/>
          <w:bCs/>
          <w:color w:val="auto"/>
          <w:sz w:val="28"/>
          <w:szCs w:val="28"/>
          <w:highlight w:val="none"/>
          <w:lang w:eastAsia="zh-CN"/>
        </w:rPr>
        <w:t>。</w:t>
      </w:r>
    </w:p>
    <w:p w14:paraId="19375F29">
      <w:pPr>
        <w:keepNext w:val="0"/>
        <w:keepLines w:val="0"/>
        <w:pageBreakBefore w:val="0"/>
        <w:kinsoku/>
        <w:wordWrap/>
        <w:overflowPunct/>
        <w:topLinePunct w:val="0"/>
        <w:autoSpaceDE/>
        <w:autoSpaceDN/>
        <w:bidi w:val="0"/>
        <w:adjustRightInd/>
        <w:snapToGrid/>
        <w:spacing w:line="360" w:lineRule="auto"/>
        <w:ind w:firstLine="480"/>
        <w:textAlignment w:val="auto"/>
        <w:rPr>
          <w:rStyle w:val="245"/>
          <w:rFonts w:hint="eastAsia" w:ascii="宋体" w:hAnsi="宋体" w:eastAsia="宋体" w:cs="宋体"/>
          <w:bCs/>
          <w:color w:val="auto"/>
          <w:sz w:val="28"/>
          <w:szCs w:val="28"/>
          <w:highlight w:val="none"/>
        </w:rPr>
      </w:pPr>
    </w:p>
    <w:p w14:paraId="271F423B">
      <w:pPr>
        <w:keepNext w:val="0"/>
        <w:keepLines w:val="0"/>
        <w:pageBreakBefore w:val="0"/>
        <w:kinsoku/>
        <w:wordWrap/>
        <w:overflowPunct/>
        <w:topLinePunct w:val="0"/>
        <w:autoSpaceDE/>
        <w:autoSpaceDN/>
        <w:bidi w:val="0"/>
        <w:adjustRightInd/>
        <w:snapToGrid/>
        <w:spacing w:line="360" w:lineRule="auto"/>
        <w:ind w:firstLine="480"/>
        <w:textAlignment w:val="auto"/>
        <w:rPr>
          <w:rStyle w:val="245"/>
          <w:rFonts w:hint="eastAsia" w:ascii="宋体" w:hAnsi="宋体" w:eastAsia="宋体" w:cs="宋体"/>
          <w:bCs/>
          <w:color w:val="auto"/>
          <w:sz w:val="28"/>
          <w:szCs w:val="28"/>
          <w:highlight w:val="none"/>
        </w:rPr>
      </w:pPr>
    </w:p>
    <w:tbl>
      <w:tblPr>
        <w:tblStyle w:val="29"/>
        <w:tblW w:w="0" w:type="auto"/>
        <w:tblInd w:w="-108" w:type="dxa"/>
        <w:tblLayout w:type="fixed"/>
        <w:tblCellMar>
          <w:top w:w="0" w:type="dxa"/>
          <w:left w:w="0" w:type="dxa"/>
          <w:bottom w:w="0" w:type="dxa"/>
          <w:right w:w="0" w:type="dxa"/>
        </w:tblCellMar>
      </w:tblPr>
      <w:tblGrid>
        <w:gridCol w:w="4643"/>
        <w:gridCol w:w="4643"/>
      </w:tblGrid>
      <w:tr w14:paraId="67743136">
        <w:tblPrEx>
          <w:tblCellMar>
            <w:top w:w="0" w:type="dxa"/>
            <w:left w:w="0" w:type="dxa"/>
            <w:bottom w:w="0" w:type="dxa"/>
            <w:right w:w="0" w:type="dxa"/>
          </w:tblCellMar>
        </w:tblPrEx>
        <w:tc>
          <w:tcPr>
            <w:tcW w:w="4643" w:type="dxa"/>
            <w:tcBorders>
              <w:top w:val="nil"/>
              <w:left w:val="nil"/>
              <w:bottom w:val="nil"/>
              <w:right w:val="nil"/>
            </w:tcBorders>
            <w:noWrap/>
            <w:vAlign w:val="top"/>
          </w:tcPr>
          <w:p w14:paraId="24208E5A">
            <w:pPr>
              <w:keepNext w:val="0"/>
              <w:keepLines w:val="0"/>
              <w:pageBreakBefore w:val="0"/>
              <w:kinsoku/>
              <w:wordWrap/>
              <w:overflowPunct/>
              <w:topLinePunct w:val="0"/>
              <w:autoSpaceDE/>
              <w:autoSpaceDN/>
              <w:bidi w:val="0"/>
              <w:adjustRightInd/>
              <w:snapToGrid/>
              <w:spacing w:line="360" w:lineRule="auto"/>
              <w:ind w:firstLine="480"/>
              <w:textAlignment w:val="auto"/>
              <w:rPr>
                <w:rStyle w:val="245"/>
                <w:rFonts w:hint="eastAsia" w:ascii="宋体" w:hAnsi="宋体" w:eastAsia="宋体" w:cs="宋体"/>
                <w:color w:val="auto"/>
                <w:sz w:val="28"/>
                <w:szCs w:val="28"/>
                <w:highlight w:val="none"/>
              </w:rPr>
            </w:pPr>
            <w:r>
              <w:rPr>
                <w:rStyle w:val="245"/>
                <w:rFonts w:hint="eastAsia" w:ascii="宋体" w:hAnsi="宋体" w:eastAsia="宋体" w:cs="宋体"/>
                <w:color w:val="auto"/>
                <w:sz w:val="28"/>
                <w:szCs w:val="28"/>
                <w:highlight w:val="none"/>
              </w:rPr>
              <w:t>甲方（采购人）：（盖章）</w:t>
            </w:r>
          </w:p>
        </w:tc>
        <w:tc>
          <w:tcPr>
            <w:tcW w:w="4643" w:type="dxa"/>
            <w:tcBorders>
              <w:top w:val="nil"/>
              <w:left w:val="nil"/>
              <w:bottom w:val="nil"/>
              <w:right w:val="nil"/>
            </w:tcBorders>
            <w:noWrap/>
            <w:vAlign w:val="top"/>
          </w:tcPr>
          <w:p w14:paraId="6E866B2F">
            <w:pPr>
              <w:keepNext w:val="0"/>
              <w:keepLines w:val="0"/>
              <w:pageBreakBefore w:val="0"/>
              <w:kinsoku/>
              <w:wordWrap/>
              <w:overflowPunct/>
              <w:topLinePunct w:val="0"/>
              <w:autoSpaceDE/>
              <w:autoSpaceDN/>
              <w:bidi w:val="0"/>
              <w:adjustRightInd/>
              <w:snapToGrid/>
              <w:spacing w:line="360" w:lineRule="auto"/>
              <w:ind w:firstLine="480"/>
              <w:textAlignment w:val="auto"/>
              <w:rPr>
                <w:rStyle w:val="245"/>
                <w:rFonts w:hint="eastAsia" w:ascii="宋体" w:hAnsi="宋体" w:eastAsia="宋体" w:cs="宋体"/>
                <w:color w:val="auto"/>
                <w:sz w:val="28"/>
                <w:szCs w:val="28"/>
                <w:highlight w:val="none"/>
              </w:rPr>
            </w:pPr>
            <w:r>
              <w:rPr>
                <w:rStyle w:val="245"/>
                <w:rFonts w:hint="eastAsia" w:ascii="宋体" w:hAnsi="宋体" w:eastAsia="宋体" w:cs="宋体"/>
                <w:color w:val="auto"/>
                <w:sz w:val="28"/>
                <w:szCs w:val="28"/>
                <w:highlight w:val="none"/>
              </w:rPr>
              <w:t>乙方（供应商）：（盖章）</w:t>
            </w:r>
          </w:p>
        </w:tc>
      </w:tr>
      <w:tr w14:paraId="7E19C170">
        <w:tblPrEx>
          <w:tblCellMar>
            <w:top w:w="0" w:type="dxa"/>
            <w:left w:w="0" w:type="dxa"/>
            <w:bottom w:w="0" w:type="dxa"/>
            <w:right w:w="0" w:type="dxa"/>
          </w:tblCellMar>
        </w:tblPrEx>
        <w:tc>
          <w:tcPr>
            <w:tcW w:w="4643" w:type="dxa"/>
            <w:tcBorders>
              <w:top w:val="nil"/>
              <w:left w:val="nil"/>
              <w:bottom w:val="nil"/>
              <w:right w:val="nil"/>
            </w:tcBorders>
            <w:noWrap/>
            <w:vAlign w:val="top"/>
          </w:tcPr>
          <w:p w14:paraId="1A6C642C">
            <w:pPr>
              <w:keepNext w:val="0"/>
              <w:keepLines w:val="0"/>
              <w:pageBreakBefore w:val="0"/>
              <w:kinsoku/>
              <w:wordWrap/>
              <w:overflowPunct/>
              <w:topLinePunct w:val="0"/>
              <w:autoSpaceDE/>
              <w:autoSpaceDN/>
              <w:bidi w:val="0"/>
              <w:adjustRightInd/>
              <w:snapToGrid/>
              <w:spacing w:line="360" w:lineRule="auto"/>
              <w:ind w:firstLine="480"/>
              <w:textAlignment w:val="auto"/>
              <w:rPr>
                <w:rStyle w:val="245"/>
                <w:rFonts w:hint="eastAsia" w:ascii="宋体" w:hAnsi="宋体" w:eastAsia="宋体" w:cs="宋体"/>
                <w:color w:val="auto"/>
                <w:sz w:val="28"/>
                <w:szCs w:val="28"/>
                <w:highlight w:val="none"/>
              </w:rPr>
            </w:pPr>
            <w:r>
              <w:rPr>
                <w:rStyle w:val="245"/>
                <w:rFonts w:hint="eastAsia" w:ascii="宋体" w:hAnsi="宋体" w:eastAsia="宋体" w:cs="宋体"/>
                <w:color w:val="auto"/>
                <w:sz w:val="28"/>
                <w:szCs w:val="28"/>
                <w:highlight w:val="none"/>
              </w:rPr>
              <w:t>代表人：</w:t>
            </w:r>
          </w:p>
        </w:tc>
        <w:tc>
          <w:tcPr>
            <w:tcW w:w="4643" w:type="dxa"/>
            <w:tcBorders>
              <w:top w:val="nil"/>
              <w:left w:val="nil"/>
              <w:bottom w:val="nil"/>
              <w:right w:val="nil"/>
            </w:tcBorders>
            <w:noWrap/>
            <w:vAlign w:val="top"/>
          </w:tcPr>
          <w:p w14:paraId="78495292">
            <w:pPr>
              <w:keepNext w:val="0"/>
              <w:keepLines w:val="0"/>
              <w:pageBreakBefore w:val="0"/>
              <w:kinsoku/>
              <w:wordWrap/>
              <w:overflowPunct/>
              <w:topLinePunct w:val="0"/>
              <w:autoSpaceDE/>
              <w:autoSpaceDN/>
              <w:bidi w:val="0"/>
              <w:adjustRightInd/>
              <w:snapToGrid/>
              <w:spacing w:line="360" w:lineRule="auto"/>
              <w:ind w:firstLine="480"/>
              <w:textAlignment w:val="auto"/>
              <w:rPr>
                <w:rStyle w:val="245"/>
                <w:rFonts w:hint="eastAsia" w:ascii="宋体" w:hAnsi="宋体" w:eastAsia="宋体" w:cs="宋体"/>
                <w:color w:val="auto"/>
                <w:sz w:val="28"/>
                <w:szCs w:val="28"/>
                <w:highlight w:val="none"/>
              </w:rPr>
            </w:pPr>
            <w:r>
              <w:rPr>
                <w:rStyle w:val="245"/>
                <w:rFonts w:hint="eastAsia" w:ascii="宋体" w:hAnsi="宋体" w:eastAsia="宋体" w:cs="宋体"/>
                <w:color w:val="auto"/>
                <w:sz w:val="28"/>
                <w:szCs w:val="28"/>
                <w:highlight w:val="none"/>
              </w:rPr>
              <w:t>代表人：</w:t>
            </w:r>
          </w:p>
        </w:tc>
      </w:tr>
      <w:tr w14:paraId="7798E9A6">
        <w:tblPrEx>
          <w:tblCellMar>
            <w:top w:w="0" w:type="dxa"/>
            <w:left w:w="0" w:type="dxa"/>
            <w:bottom w:w="0" w:type="dxa"/>
            <w:right w:w="0" w:type="dxa"/>
          </w:tblCellMar>
        </w:tblPrEx>
        <w:tc>
          <w:tcPr>
            <w:tcW w:w="4643" w:type="dxa"/>
            <w:tcBorders>
              <w:top w:val="nil"/>
              <w:left w:val="nil"/>
              <w:bottom w:val="nil"/>
              <w:right w:val="nil"/>
            </w:tcBorders>
            <w:noWrap/>
            <w:vAlign w:val="top"/>
          </w:tcPr>
          <w:p w14:paraId="3E2681F1">
            <w:pPr>
              <w:keepNext w:val="0"/>
              <w:keepLines w:val="0"/>
              <w:pageBreakBefore w:val="0"/>
              <w:kinsoku/>
              <w:wordWrap/>
              <w:overflowPunct/>
              <w:topLinePunct w:val="0"/>
              <w:autoSpaceDE/>
              <w:autoSpaceDN/>
              <w:bidi w:val="0"/>
              <w:adjustRightInd/>
              <w:snapToGrid/>
              <w:spacing w:line="360" w:lineRule="auto"/>
              <w:ind w:firstLine="480"/>
              <w:textAlignment w:val="auto"/>
              <w:rPr>
                <w:rStyle w:val="245"/>
                <w:rFonts w:hint="eastAsia" w:ascii="宋体" w:hAnsi="宋体" w:eastAsia="宋体" w:cs="宋体"/>
                <w:color w:val="auto"/>
                <w:sz w:val="28"/>
                <w:szCs w:val="28"/>
                <w:highlight w:val="none"/>
              </w:rPr>
            </w:pPr>
            <w:r>
              <w:rPr>
                <w:rStyle w:val="245"/>
                <w:rFonts w:hint="eastAsia" w:ascii="宋体" w:hAnsi="宋体" w:eastAsia="宋体" w:cs="宋体"/>
                <w:color w:val="auto"/>
                <w:sz w:val="28"/>
                <w:szCs w:val="28"/>
                <w:highlight w:val="none"/>
              </w:rPr>
              <w:t>电话：</w:t>
            </w:r>
          </w:p>
        </w:tc>
        <w:tc>
          <w:tcPr>
            <w:tcW w:w="4643" w:type="dxa"/>
            <w:tcBorders>
              <w:top w:val="nil"/>
              <w:left w:val="nil"/>
              <w:bottom w:val="nil"/>
              <w:right w:val="nil"/>
            </w:tcBorders>
            <w:noWrap/>
            <w:vAlign w:val="top"/>
          </w:tcPr>
          <w:p w14:paraId="34DB8474">
            <w:pPr>
              <w:keepNext w:val="0"/>
              <w:keepLines w:val="0"/>
              <w:pageBreakBefore w:val="0"/>
              <w:kinsoku/>
              <w:wordWrap/>
              <w:overflowPunct/>
              <w:topLinePunct w:val="0"/>
              <w:autoSpaceDE/>
              <w:autoSpaceDN/>
              <w:bidi w:val="0"/>
              <w:adjustRightInd/>
              <w:snapToGrid/>
              <w:spacing w:line="360" w:lineRule="auto"/>
              <w:ind w:firstLine="480"/>
              <w:textAlignment w:val="auto"/>
              <w:rPr>
                <w:rStyle w:val="245"/>
                <w:rFonts w:hint="eastAsia" w:ascii="宋体" w:hAnsi="宋体" w:eastAsia="宋体" w:cs="宋体"/>
                <w:color w:val="auto"/>
                <w:sz w:val="28"/>
                <w:szCs w:val="28"/>
                <w:highlight w:val="none"/>
              </w:rPr>
            </w:pPr>
            <w:r>
              <w:rPr>
                <w:rStyle w:val="245"/>
                <w:rFonts w:hint="eastAsia" w:ascii="宋体" w:hAnsi="宋体" w:eastAsia="宋体" w:cs="宋体"/>
                <w:color w:val="auto"/>
                <w:sz w:val="28"/>
                <w:szCs w:val="28"/>
                <w:highlight w:val="none"/>
              </w:rPr>
              <w:t>电话：</w:t>
            </w:r>
          </w:p>
        </w:tc>
      </w:tr>
      <w:tr w14:paraId="7AE97FE7">
        <w:tblPrEx>
          <w:tblCellMar>
            <w:top w:w="0" w:type="dxa"/>
            <w:left w:w="0" w:type="dxa"/>
            <w:bottom w:w="0" w:type="dxa"/>
            <w:right w:w="0" w:type="dxa"/>
          </w:tblCellMar>
        </w:tblPrEx>
        <w:tc>
          <w:tcPr>
            <w:tcW w:w="4643" w:type="dxa"/>
            <w:tcBorders>
              <w:top w:val="nil"/>
              <w:left w:val="nil"/>
              <w:bottom w:val="nil"/>
              <w:right w:val="nil"/>
            </w:tcBorders>
            <w:noWrap/>
            <w:vAlign w:val="top"/>
          </w:tcPr>
          <w:p w14:paraId="4F3770A9">
            <w:pPr>
              <w:keepNext w:val="0"/>
              <w:keepLines w:val="0"/>
              <w:pageBreakBefore w:val="0"/>
              <w:kinsoku/>
              <w:wordWrap/>
              <w:overflowPunct/>
              <w:topLinePunct w:val="0"/>
              <w:autoSpaceDE/>
              <w:autoSpaceDN/>
              <w:bidi w:val="0"/>
              <w:adjustRightInd/>
              <w:snapToGrid/>
              <w:spacing w:line="360" w:lineRule="auto"/>
              <w:ind w:firstLine="480"/>
              <w:textAlignment w:val="auto"/>
              <w:rPr>
                <w:rStyle w:val="245"/>
                <w:rFonts w:hint="eastAsia" w:ascii="宋体" w:hAnsi="宋体" w:eastAsia="宋体" w:cs="宋体"/>
                <w:color w:val="auto"/>
                <w:sz w:val="28"/>
                <w:szCs w:val="28"/>
                <w:highlight w:val="none"/>
              </w:rPr>
            </w:pPr>
            <w:r>
              <w:rPr>
                <w:rStyle w:val="245"/>
                <w:rFonts w:hint="eastAsia" w:ascii="宋体" w:hAnsi="宋体" w:eastAsia="宋体" w:cs="宋体"/>
                <w:color w:val="auto"/>
                <w:sz w:val="28"/>
                <w:szCs w:val="28"/>
                <w:highlight w:val="none"/>
              </w:rPr>
              <w:t>开户银行：</w:t>
            </w:r>
          </w:p>
        </w:tc>
        <w:tc>
          <w:tcPr>
            <w:tcW w:w="4643" w:type="dxa"/>
            <w:tcBorders>
              <w:top w:val="nil"/>
              <w:left w:val="nil"/>
              <w:bottom w:val="nil"/>
              <w:right w:val="nil"/>
            </w:tcBorders>
            <w:noWrap/>
            <w:vAlign w:val="top"/>
          </w:tcPr>
          <w:p w14:paraId="4E433295">
            <w:pPr>
              <w:keepNext w:val="0"/>
              <w:keepLines w:val="0"/>
              <w:pageBreakBefore w:val="0"/>
              <w:kinsoku/>
              <w:wordWrap/>
              <w:overflowPunct/>
              <w:topLinePunct w:val="0"/>
              <w:autoSpaceDE/>
              <w:autoSpaceDN/>
              <w:bidi w:val="0"/>
              <w:adjustRightInd/>
              <w:snapToGrid/>
              <w:spacing w:line="360" w:lineRule="auto"/>
              <w:ind w:firstLine="480"/>
              <w:textAlignment w:val="auto"/>
              <w:rPr>
                <w:rStyle w:val="245"/>
                <w:rFonts w:hint="eastAsia" w:ascii="宋体" w:hAnsi="宋体" w:eastAsia="宋体" w:cs="宋体"/>
                <w:color w:val="auto"/>
                <w:sz w:val="28"/>
                <w:szCs w:val="28"/>
                <w:highlight w:val="none"/>
              </w:rPr>
            </w:pPr>
            <w:r>
              <w:rPr>
                <w:rStyle w:val="245"/>
                <w:rFonts w:hint="eastAsia" w:ascii="宋体" w:hAnsi="宋体" w:eastAsia="宋体" w:cs="宋体"/>
                <w:color w:val="auto"/>
                <w:sz w:val="28"/>
                <w:szCs w:val="28"/>
                <w:highlight w:val="none"/>
              </w:rPr>
              <w:t>开户银行：</w:t>
            </w:r>
          </w:p>
        </w:tc>
      </w:tr>
      <w:tr w14:paraId="06DD221F">
        <w:tblPrEx>
          <w:tblCellMar>
            <w:top w:w="0" w:type="dxa"/>
            <w:left w:w="0" w:type="dxa"/>
            <w:bottom w:w="0" w:type="dxa"/>
            <w:right w:w="0" w:type="dxa"/>
          </w:tblCellMar>
        </w:tblPrEx>
        <w:trPr>
          <w:trHeight w:val="651" w:hRule="atLeast"/>
        </w:trPr>
        <w:tc>
          <w:tcPr>
            <w:tcW w:w="4643" w:type="dxa"/>
            <w:tcBorders>
              <w:top w:val="nil"/>
              <w:left w:val="nil"/>
              <w:bottom w:val="nil"/>
              <w:right w:val="nil"/>
            </w:tcBorders>
            <w:noWrap/>
            <w:vAlign w:val="top"/>
          </w:tcPr>
          <w:p w14:paraId="2065E11F">
            <w:pPr>
              <w:keepNext w:val="0"/>
              <w:keepLines w:val="0"/>
              <w:pageBreakBefore w:val="0"/>
              <w:kinsoku/>
              <w:wordWrap/>
              <w:overflowPunct/>
              <w:topLinePunct w:val="0"/>
              <w:autoSpaceDE/>
              <w:autoSpaceDN/>
              <w:bidi w:val="0"/>
              <w:adjustRightInd/>
              <w:snapToGrid/>
              <w:spacing w:line="360" w:lineRule="auto"/>
              <w:ind w:firstLine="480"/>
              <w:textAlignment w:val="auto"/>
              <w:rPr>
                <w:rStyle w:val="245"/>
                <w:rFonts w:hint="eastAsia" w:ascii="宋体" w:hAnsi="宋体" w:eastAsia="宋体" w:cs="宋体"/>
                <w:color w:val="auto"/>
                <w:sz w:val="28"/>
                <w:szCs w:val="28"/>
                <w:highlight w:val="none"/>
              </w:rPr>
            </w:pPr>
            <w:r>
              <w:rPr>
                <w:rStyle w:val="245"/>
                <w:rFonts w:hint="eastAsia" w:ascii="宋体" w:hAnsi="宋体" w:eastAsia="宋体" w:cs="宋体"/>
                <w:color w:val="auto"/>
                <w:sz w:val="28"/>
                <w:szCs w:val="28"/>
                <w:highlight w:val="none"/>
              </w:rPr>
              <w:t>帐号：</w:t>
            </w:r>
          </w:p>
        </w:tc>
        <w:tc>
          <w:tcPr>
            <w:tcW w:w="4643" w:type="dxa"/>
            <w:tcBorders>
              <w:top w:val="nil"/>
              <w:left w:val="nil"/>
              <w:bottom w:val="nil"/>
              <w:right w:val="nil"/>
            </w:tcBorders>
            <w:noWrap/>
            <w:vAlign w:val="top"/>
          </w:tcPr>
          <w:p w14:paraId="1B3018D8">
            <w:pPr>
              <w:keepNext w:val="0"/>
              <w:keepLines w:val="0"/>
              <w:pageBreakBefore w:val="0"/>
              <w:kinsoku/>
              <w:wordWrap/>
              <w:overflowPunct/>
              <w:topLinePunct w:val="0"/>
              <w:autoSpaceDE/>
              <w:autoSpaceDN/>
              <w:bidi w:val="0"/>
              <w:adjustRightInd/>
              <w:snapToGrid/>
              <w:spacing w:line="360" w:lineRule="auto"/>
              <w:ind w:firstLine="480"/>
              <w:textAlignment w:val="auto"/>
              <w:rPr>
                <w:rStyle w:val="245"/>
                <w:rFonts w:hint="eastAsia" w:ascii="宋体" w:hAnsi="宋体" w:eastAsia="宋体" w:cs="宋体"/>
                <w:color w:val="auto"/>
                <w:sz w:val="28"/>
                <w:szCs w:val="28"/>
                <w:highlight w:val="none"/>
              </w:rPr>
            </w:pPr>
            <w:r>
              <w:rPr>
                <w:rStyle w:val="245"/>
                <w:rFonts w:hint="eastAsia" w:ascii="宋体" w:hAnsi="宋体" w:eastAsia="宋体" w:cs="宋体"/>
                <w:color w:val="auto"/>
                <w:sz w:val="28"/>
                <w:szCs w:val="28"/>
                <w:highlight w:val="none"/>
              </w:rPr>
              <w:t>帐号：</w:t>
            </w:r>
          </w:p>
          <w:p w14:paraId="235E7FE4">
            <w:pPr>
              <w:keepNext w:val="0"/>
              <w:keepLines w:val="0"/>
              <w:pageBreakBefore w:val="0"/>
              <w:kinsoku/>
              <w:wordWrap/>
              <w:overflowPunct/>
              <w:topLinePunct w:val="0"/>
              <w:autoSpaceDE/>
              <w:autoSpaceDN/>
              <w:bidi w:val="0"/>
              <w:adjustRightInd/>
              <w:snapToGrid/>
              <w:spacing w:line="360" w:lineRule="auto"/>
              <w:textAlignment w:val="auto"/>
              <w:rPr>
                <w:rStyle w:val="245"/>
                <w:rFonts w:hint="eastAsia" w:ascii="宋体" w:hAnsi="宋体" w:eastAsia="宋体" w:cs="宋体"/>
                <w:color w:val="auto"/>
                <w:sz w:val="28"/>
                <w:szCs w:val="28"/>
                <w:highlight w:val="none"/>
              </w:rPr>
            </w:pPr>
          </w:p>
          <w:p w14:paraId="04A5DF99">
            <w:pPr>
              <w:keepNext w:val="0"/>
              <w:keepLines w:val="0"/>
              <w:pageBreakBefore w:val="0"/>
              <w:kinsoku/>
              <w:wordWrap/>
              <w:overflowPunct/>
              <w:topLinePunct w:val="0"/>
              <w:autoSpaceDE/>
              <w:autoSpaceDN/>
              <w:bidi w:val="0"/>
              <w:adjustRightInd/>
              <w:snapToGrid/>
              <w:spacing w:line="360" w:lineRule="auto"/>
              <w:textAlignment w:val="auto"/>
              <w:rPr>
                <w:rStyle w:val="245"/>
                <w:rFonts w:hint="eastAsia" w:ascii="宋体" w:hAnsi="宋体" w:eastAsia="宋体" w:cs="宋体"/>
                <w:color w:val="auto"/>
                <w:sz w:val="28"/>
                <w:szCs w:val="28"/>
                <w:highlight w:val="none"/>
              </w:rPr>
            </w:pPr>
          </w:p>
        </w:tc>
      </w:tr>
    </w:tbl>
    <w:p w14:paraId="27B67912">
      <w:pPr>
        <w:pageBreakBefore w:val="0"/>
        <w:tabs>
          <w:tab w:val="left" w:pos="964"/>
        </w:tabs>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2"/>
          <w:szCs w:val="22"/>
          <w:highlight w:val="none"/>
        </w:rPr>
      </w:pPr>
    </w:p>
    <w:p w14:paraId="2370974C">
      <w:pPr>
        <w:pageBreakBefore w:val="0"/>
        <w:kinsoku/>
        <w:wordWrap/>
        <w:overflowPunct/>
        <w:topLinePunct w:val="0"/>
        <w:autoSpaceDE/>
        <w:autoSpaceDN/>
        <w:bidi w:val="0"/>
        <w:adjustRightInd/>
        <w:snapToGrid/>
        <w:spacing w:line="360" w:lineRule="auto"/>
        <w:ind w:firstLine="0"/>
        <w:textAlignment w:val="auto"/>
        <w:rPr>
          <w:rFonts w:hint="eastAsia" w:ascii="宋体" w:hAnsi="宋体" w:eastAsia="宋体" w:cs="宋体"/>
          <w:color w:val="auto"/>
          <w:szCs w:val="21"/>
          <w:highlight w:val="none"/>
        </w:rPr>
        <w:sectPr>
          <w:footerReference r:id="rId5" w:type="default"/>
          <w:pgSz w:w="11906" w:h="16838"/>
          <w:pgMar w:top="2098" w:right="1474" w:bottom="1984" w:left="1587" w:header="851" w:footer="992" w:gutter="0"/>
          <w:cols w:space="1701" w:num="1"/>
          <w:docGrid w:linePitch="360" w:charSpace="0"/>
        </w:sectPr>
      </w:pPr>
    </w:p>
    <w:p w14:paraId="0C72B1CE">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度假区</w:t>
      </w:r>
      <w:r>
        <w:rPr>
          <w:rFonts w:hint="eastAsia" w:ascii="宋体" w:hAnsi="宋体" w:eastAsia="宋体" w:cs="宋体"/>
          <w:color w:val="auto"/>
          <w:kern w:val="2"/>
          <w:sz w:val="28"/>
          <w:szCs w:val="28"/>
          <w:highlight w:val="none"/>
          <w:lang w:eastAsia="zh-CN"/>
        </w:rPr>
        <w:t>道路</w:t>
      </w:r>
      <w:r>
        <w:rPr>
          <w:rFonts w:hint="eastAsia" w:ascii="宋体" w:hAnsi="宋体" w:eastAsia="宋体" w:cs="宋体"/>
          <w:color w:val="auto"/>
          <w:kern w:val="2"/>
          <w:sz w:val="28"/>
          <w:szCs w:val="28"/>
          <w:highlight w:val="none"/>
          <w:lang w:val="en-US" w:eastAsia="zh-CN"/>
        </w:rPr>
        <w:t>保洁绿化养护精细化管理</w:t>
      </w:r>
    </w:p>
    <w:p w14:paraId="433AA1AF">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lang w:eastAsia="zh-CN"/>
        </w:rPr>
        <w:t>考核办法</w:t>
      </w:r>
    </w:p>
    <w:p w14:paraId="142376AF">
      <w:pPr>
        <w:keepNext w:val="0"/>
        <w:keepLines w:val="0"/>
        <w:pageBreakBefore w:val="0"/>
        <w:kinsoku/>
        <w:wordWrap/>
        <w:overflowPunct/>
        <w:topLinePunct w:val="0"/>
        <w:autoSpaceDE/>
        <w:autoSpaceDN/>
        <w:bidi w:val="0"/>
        <w:adjustRightInd/>
        <w:snapToGrid/>
        <w:spacing w:line="360" w:lineRule="auto"/>
        <w:ind w:firstLine="548" w:firstLineChars="196"/>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为全面提升辖区道路保洁绿化养护精细化管理水平，建立养护考核工作新模式，落实长效管理机制，规范组织检查考核工作，结合度假区实际情况，特制定本办法。</w:t>
      </w:r>
    </w:p>
    <w:p w14:paraId="5B8D38D1">
      <w:pPr>
        <w:keepNext w:val="0"/>
        <w:keepLines w:val="0"/>
        <w:pageBreakBefore w:val="0"/>
        <w:kinsoku/>
        <w:wordWrap/>
        <w:overflowPunct/>
        <w:topLinePunct w:val="0"/>
        <w:autoSpaceDE/>
        <w:autoSpaceDN/>
        <w:bidi w:val="0"/>
        <w:adjustRightInd/>
        <w:snapToGrid/>
        <w:spacing w:line="360" w:lineRule="auto"/>
        <w:ind w:firstLine="560" w:firstLineChars="200"/>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一、总则</w:t>
      </w:r>
    </w:p>
    <w:p w14:paraId="579D2997">
      <w:pPr>
        <w:keepNext w:val="0"/>
        <w:keepLines w:val="0"/>
        <w:pageBreakBefore w:val="0"/>
        <w:kinsoku/>
        <w:wordWrap/>
        <w:overflowPunct/>
        <w:topLinePunct w:val="0"/>
        <w:autoSpaceDE/>
        <w:autoSpaceDN/>
        <w:bidi w:val="0"/>
        <w:adjustRightInd/>
        <w:snapToGrid/>
        <w:spacing w:line="360" w:lineRule="auto"/>
        <w:ind w:firstLine="560" w:firstLineChars="200"/>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1、采用</w:t>
      </w:r>
      <w:r>
        <w:rPr>
          <w:rFonts w:hint="eastAsia" w:ascii="宋体" w:hAnsi="宋体" w:eastAsia="宋体" w:cs="宋体"/>
          <w:color w:val="auto"/>
          <w:kern w:val="2"/>
          <w:sz w:val="28"/>
          <w:szCs w:val="28"/>
          <w:highlight w:val="none"/>
          <w:lang w:val="en-US" w:eastAsia="zh-CN"/>
        </w:rPr>
        <w:t>百分制</w:t>
      </w:r>
      <w:r>
        <w:rPr>
          <w:rFonts w:hint="eastAsia" w:ascii="宋体" w:hAnsi="宋体" w:eastAsia="宋体" w:cs="宋体"/>
          <w:color w:val="auto"/>
          <w:kern w:val="2"/>
          <w:sz w:val="28"/>
          <w:szCs w:val="28"/>
          <w:highlight w:val="none"/>
        </w:rPr>
        <w:t>考核办法，有专用</w:t>
      </w:r>
      <w:r>
        <w:rPr>
          <w:rFonts w:hint="eastAsia" w:ascii="宋体" w:hAnsi="宋体" w:eastAsia="宋体" w:cs="宋体"/>
          <w:color w:val="auto"/>
          <w:kern w:val="2"/>
          <w:sz w:val="28"/>
          <w:szCs w:val="28"/>
          <w:highlight w:val="none"/>
          <w:lang w:val="en-US" w:eastAsia="zh-CN"/>
        </w:rPr>
        <w:t>保洁和绿化</w:t>
      </w:r>
      <w:r>
        <w:rPr>
          <w:rFonts w:hint="eastAsia" w:ascii="宋体" w:hAnsi="宋体" w:eastAsia="宋体" w:cs="宋体"/>
          <w:color w:val="auto"/>
          <w:kern w:val="2"/>
          <w:sz w:val="28"/>
          <w:szCs w:val="28"/>
          <w:highlight w:val="none"/>
        </w:rPr>
        <w:t>考核表。</w:t>
      </w:r>
    </w:p>
    <w:p w14:paraId="2AB66F55">
      <w:pPr>
        <w:keepNext w:val="0"/>
        <w:keepLines w:val="0"/>
        <w:pageBreakBefore w:val="0"/>
        <w:kinsoku/>
        <w:wordWrap/>
        <w:overflowPunct/>
        <w:topLinePunct w:val="0"/>
        <w:autoSpaceDE/>
        <w:autoSpaceDN/>
        <w:bidi w:val="0"/>
        <w:adjustRightInd/>
        <w:snapToGrid/>
        <w:spacing w:line="360" w:lineRule="auto"/>
        <w:ind w:firstLine="560" w:firstLineChars="200"/>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2、</w:t>
      </w:r>
      <w:r>
        <w:rPr>
          <w:rFonts w:hint="eastAsia" w:ascii="宋体" w:hAnsi="宋体" w:eastAsia="宋体" w:cs="宋体"/>
          <w:color w:val="auto"/>
          <w:kern w:val="2"/>
          <w:sz w:val="28"/>
          <w:szCs w:val="28"/>
          <w:highlight w:val="none"/>
        </w:rPr>
        <w:t>考核为不定期考核，采取现场扣分制考核，每</w:t>
      </w:r>
      <w:r>
        <w:rPr>
          <w:rFonts w:hint="eastAsia" w:ascii="宋体" w:hAnsi="宋体" w:eastAsia="宋体" w:cs="宋体"/>
          <w:color w:val="auto"/>
          <w:kern w:val="2"/>
          <w:sz w:val="28"/>
          <w:szCs w:val="28"/>
          <w:highlight w:val="none"/>
          <w:lang w:val="en-US" w:eastAsia="zh-CN"/>
        </w:rPr>
        <w:t>月</w:t>
      </w:r>
      <w:r>
        <w:rPr>
          <w:rFonts w:hint="eastAsia" w:ascii="宋体" w:hAnsi="宋体" w:eastAsia="宋体" w:cs="宋体"/>
          <w:color w:val="auto"/>
          <w:kern w:val="2"/>
          <w:sz w:val="28"/>
          <w:szCs w:val="28"/>
          <w:highlight w:val="none"/>
        </w:rPr>
        <w:t>不少于</w:t>
      </w:r>
      <w:r>
        <w:rPr>
          <w:rFonts w:hint="eastAsia" w:ascii="宋体" w:hAnsi="宋体" w:eastAsia="宋体" w:cs="宋体"/>
          <w:color w:val="auto"/>
          <w:kern w:val="2"/>
          <w:sz w:val="28"/>
          <w:szCs w:val="28"/>
          <w:highlight w:val="none"/>
          <w:lang w:val="en-US" w:eastAsia="zh-CN"/>
        </w:rPr>
        <w:t>4</w:t>
      </w:r>
      <w:r>
        <w:rPr>
          <w:rFonts w:hint="eastAsia" w:ascii="宋体" w:hAnsi="宋体" w:eastAsia="宋体" w:cs="宋体"/>
          <w:color w:val="auto"/>
          <w:kern w:val="2"/>
          <w:sz w:val="28"/>
          <w:szCs w:val="28"/>
          <w:highlight w:val="none"/>
        </w:rPr>
        <w:t>次。</w:t>
      </w:r>
      <w:r>
        <w:rPr>
          <w:rFonts w:hint="eastAsia" w:ascii="宋体" w:hAnsi="宋体" w:eastAsia="宋体" w:cs="宋体"/>
          <w:color w:val="auto"/>
          <w:kern w:val="2"/>
          <w:sz w:val="28"/>
          <w:szCs w:val="28"/>
          <w:highlight w:val="none"/>
          <w:lang w:val="en-US" w:eastAsia="zh-CN"/>
        </w:rPr>
        <w:t>百分制考核，保洁和绿化各占50分，每次考核分数由保洁和绿化考核分数总和组成，</w:t>
      </w:r>
      <w:r>
        <w:rPr>
          <w:rFonts w:hint="eastAsia" w:ascii="宋体" w:hAnsi="宋体" w:eastAsia="宋体" w:cs="宋体"/>
          <w:color w:val="auto"/>
          <w:kern w:val="2"/>
          <w:sz w:val="28"/>
          <w:szCs w:val="28"/>
          <w:highlight w:val="none"/>
        </w:rPr>
        <w:t>对考核中发现的问题由专人记录，并拍照</w:t>
      </w:r>
      <w:r>
        <w:rPr>
          <w:rFonts w:hint="eastAsia" w:ascii="宋体" w:hAnsi="宋体" w:eastAsia="宋体" w:cs="宋体"/>
          <w:color w:val="auto"/>
          <w:kern w:val="2"/>
          <w:sz w:val="28"/>
          <w:szCs w:val="28"/>
          <w:highlight w:val="none"/>
          <w:lang w:val="en-US" w:eastAsia="zh-CN"/>
        </w:rPr>
        <w:t>反馈至工作群</w:t>
      </w:r>
      <w:r>
        <w:rPr>
          <w:rFonts w:hint="eastAsia" w:ascii="宋体" w:hAnsi="宋体" w:eastAsia="宋体" w:cs="宋体"/>
          <w:color w:val="auto"/>
          <w:kern w:val="2"/>
          <w:sz w:val="28"/>
          <w:szCs w:val="28"/>
          <w:highlight w:val="none"/>
        </w:rPr>
        <w:t>。</w:t>
      </w:r>
      <w:r>
        <w:rPr>
          <w:rFonts w:hint="eastAsia" w:ascii="宋体" w:hAnsi="宋体" w:eastAsia="宋体" w:cs="宋体"/>
          <w:color w:val="auto"/>
          <w:kern w:val="2"/>
          <w:sz w:val="28"/>
          <w:szCs w:val="28"/>
          <w:highlight w:val="none"/>
          <w:lang w:val="en-US" w:eastAsia="zh-CN"/>
        </w:rPr>
        <w:t>当月考核分数为本月4次考核分数平均值。</w:t>
      </w:r>
    </w:p>
    <w:p w14:paraId="326EF11D">
      <w:pPr>
        <w:keepNext w:val="0"/>
        <w:keepLines w:val="0"/>
        <w:pageBreakBefore w:val="0"/>
        <w:kinsoku/>
        <w:wordWrap/>
        <w:overflowPunct/>
        <w:topLinePunct w:val="0"/>
        <w:autoSpaceDE/>
        <w:autoSpaceDN/>
        <w:bidi w:val="0"/>
        <w:adjustRightInd/>
        <w:snapToGrid/>
        <w:spacing w:line="360" w:lineRule="auto"/>
        <w:ind w:left="2" w:leftChars="1" w:firstLine="560" w:firstLineChars="200"/>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3</w:t>
      </w:r>
      <w:r>
        <w:rPr>
          <w:rFonts w:hint="eastAsia" w:ascii="宋体" w:hAnsi="宋体" w:eastAsia="宋体" w:cs="宋体"/>
          <w:color w:val="auto"/>
          <w:kern w:val="2"/>
          <w:sz w:val="28"/>
          <w:szCs w:val="28"/>
          <w:highlight w:val="none"/>
        </w:rPr>
        <w:t>、每周向管养单位反馈</w:t>
      </w:r>
      <w:r>
        <w:rPr>
          <w:rFonts w:hint="eastAsia" w:ascii="宋体" w:hAnsi="宋体" w:eastAsia="宋体" w:cs="宋体"/>
          <w:color w:val="auto"/>
          <w:kern w:val="2"/>
          <w:sz w:val="28"/>
          <w:szCs w:val="28"/>
          <w:highlight w:val="none"/>
          <w:lang w:val="en-US" w:eastAsia="zh-CN"/>
        </w:rPr>
        <w:t>1</w:t>
      </w:r>
      <w:r>
        <w:rPr>
          <w:rFonts w:hint="eastAsia" w:ascii="宋体" w:hAnsi="宋体" w:eastAsia="宋体" w:cs="宋体"/>
          <w:color w:val="auto"/>
          <w:kern w:val="2"/>
          <w:sz w:val="28"/>
          <w:szCs w:val="28"/>
          <w:highlight w:val="none"/>
        </w:rPr>
        <w:t>周扣分情况，每月初向管养单位通报上个月的扣分情况</w:t>
      </w:r>
      <w:r>
        <w:rPr>
          <w:rFonts w:hint="eastAsia" w:ascii="宋体" w:hAnsi="宋体" w:eastAsia="宋体" w:cs="宋体"/>
          <w:color w:val="auto"/>
          <w:kern w:val="2"/>
          <w:sz w:val="28"/>
          <w:szCs w:val="28"/>
          <w:highlight w:val="none"/>
          <w:lang w:val="en-US" w:eastAsia="zh-CN"/>
        </w:rPr>
        <w:t>及对应服务费</w:t>
      </w:r>
      <w:r>
        <w:rPr>
          <w:rFonts w:hint="eastAsia" w:ascii="宋体" w:hAnsi="宋体" w:eastAsia="宋体" w:cs="宋体"/>
          <w:color w:val="auto"/>
          <w:kern w:val="2"/>
          <w:sz w:val="28"/>
          <w:szCs w:val="28"/>
          <w:highlight w:val="none"/>
        </w:rPr>
        <w:t>。</w:t>
      </w:r>
    </w:p>
    <w:p w14:paraId="42ED2142">
      <w:pPr>
        <w:keepNext w:val="0"/>
        <w:keepLines w:val="0"/>
        <w:pageBreakBefore w:val="0"/>
        <w:kinsoku/>
        <w:wordWrap/>
        <w:overflowPunct/>
        <w:topLinePunct w:val="0"/>
        <w:autoSpaceDE/>
        <w:autoSpaceDN/>
        <w:bidi w:val="0"/>
        <w:adjustRightInd/>
        <w:snapToGrid/>
        <w:spacing w:line="360" w:lineRule="auto"/>
        <w:ind w:firstLine="560" w:firstLineChars="200"/>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4</w:t>
      </w:r>
      <w:r>
        <w:rPr>
          <w:rFonts w:hint="eastAsia" w:ascii="宋体" w:hAnsi="宋体" w:eastAsia="宋体" w:cs="宋体"/>
          <w:color w:val="auto"/>
          <w:kern w:val="2"/>
          <w:sz w:val="28"/>
          <w:szCs w:val="28"/>
          <w:highlight w:val="none"/>
        </w:rPr>
        <w:t>、</w:t>
      </w:r>
      <w:r>
        <w:rPr>
          <w:rFonts w:hint="eastAsia" w:ascii="宋体" w:hAnsi="宋体" w:eastAsia="宋体" w:cs="宋体"/>
          <w:color w:val="auto"/>
          <w:kern w:val="2"/>
          <w:sz w:val="28"/>
          <w:szCs w:val="28"/>
          <w:highlight w:val="none"/>
          <w:lang w:val="en-US" w:eastAsia="zh-CN"/>
        </w:rPr>
        <w:t>考核实行百分制。得分在95分及以上，不扣当月管养费。得分95分（不含95分）以下90分以上（含90分），95分以下每扣0.1分，相对应在管养经费中扣除50元；若当月得分在90分（不含90分）以下85分以上（含85分），95分以下每扣0.1分则在相应管养经费中扣除100元；若当月得分85分以下，则扣减10%月度养护经费；</w:t>
      </w:r>
      <w:r>
        <w:rPr>
          <w:rFonts w:hint="eastAsia" w:ascii="宋体" w:hAnsi="宋体" w:eastAsia="宋体" w:cs="宋体"/>
          <w:i w:val="0"/>
          <w:iCs w:val="0"/>
          <w:color w:val="auto"/>
          <w:kern w:val="0"/>
          <w:sz w:val="28"/>
          <w:szCs w:val="28"/>
          <w:highlight w:val="none"/>
          <w:u w:val="none"/>
          <w:lang w:val="en-US" w:eastAsia="zh-CN" w:bidi="ar"/>
        </w:rPr>
        <w:t>连续2个月考核不合格的（85分以下）甲方有权终止协议，并且不承担违约责任</w:t>
      </w:r>
      <w:r>
        <w:rPr>
          <w:rFonts w:hint="eastAsia" w:ascii="宋体" w:hAnsi="宋体" w:eastAsia="宋体" w:cs="宋体"/>
          <w:color w:val="auto"/>
          <w:kern w:val="2"/>
          <w:sz w:val="28"/>
          <w:szCs w:val="28"/>
          <w:highlight w:val="none"/>
          <w:lang w:val="en-US" w:eastAsia="zh-CN"/>
        </w:rPr>
        <w:t>。</w:t>
      </w:r>
    </w:p>
    <w:p w14:paraId="5F1C8838">
      <w:pPr>
        <w:keepNext w:val="0"/>
        <w:keepLines w:val="0"/>
        <w:pageBreakBefore w:val="0"/>
        <w:kinsoku/>
        <w:wordWrap/>
        <w:overflowPunct/>
        <w:topLinePunct w:val="0"/>
        <w:autoSpaceDE/>
        <w:autoSpaceDN/>
        <w:bidi w:val="0"/>
        <w:adjustRightInd/>
        <w:snapToGrid/>
        <w:spacing w:line="360" w:lineRule="auto"/>
        <w:ind w:left="-178" w:leftChars="-85" w:firstLine="560" w:firstLineChars="200"/>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二</w:t>
      </w:r>
      <w:r>
        <w:rPr>
          <w:rFonts w:hint="eastAsia" w:ascii="宋体" w:hAnsi="宋体" w:eastAsia="宋体" w:cs="宋体"/>
          <w:color w:val="auto"/>
          <w:kern w:val="2"/>
          <w:sz w:val="28"/>
          <w:szCs w:val="28"/>
          <w:highlight w:val="none"/>
        </w:rPr>
        <w:t>、考核评分</w:t>
      </w:r>
      <w:r>
        <w:rPr>
          <w:rFonts w:hint="eastAsia" w:ascii="宋体" w:hAnsi="宋体" w:eastAsia="宋体" w:cs="宋体"/>
          <w:color w:val="auto"/>
          <w:kern w:val="2"/>
          <w:sz w:val="28"/>
          <w:szCs w:val="28"/>
          <w:highlight w:val="none"/>
          <w:lang w:val="en-US" w:eastAsia="zh-CN"/>
        </w:rPr>
        <w:t>细则</w:t>
      </w:r>
    </w:p>
    <w:p w14:paraId="16C7DE78">
      <w:pPr>
        <w:keepNext w:val="0"/>
        <w:keepLines w:val="0"/>
        <w:pageBreakBefore w:val="0"/>
        <w:kinsoku/>
        <w:wordWrap/>
        <w:overflowPunct/>
        <w:topLinePunct w:val="0"/>
        <w:autoSpaceDE/>
        <w:autoSpaceDN/>
        <w:bidi w:val="0"/>
        <w:adjustRightInd/>
        <w:snapToGrid/>
        <w:spacing w:line="360" w:lineRule="auto"/>
        <w:ind w:left="-178" w:leftChars="-85" w:firstLine="560" w:firstLineChars="200"/>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1、保洁（共50分）</w:t>
      </w:r>
    </w:p>
    <w:tbl>
      <w:tblPr>
        <w:tblStyle w:val="29"/>
        <w:tblW w:w="514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8"/>
        <w:gridCol w:w="4093"/>
        <w:gridCol w:w="4266"/>
      </w:tblGrid>
      <w:tr w14:paraId="67F8F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9" w:hRule="atLeast"/>
        </w:trPr>
        <w:tc>
          <w:tcPr>
            <w:tcW w:w="519" w:type="pct"/>
            <w:vMerge w:val="restart"/>
            <w:noWrap w:val="0"/>
            <w:vAlign w:val="center"/>
          </w:tcPr>
          <w:p w14:paraId="3415F9B7">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lang w:eastAsia="zh-CN"/>
              </w:rPr>
            </w:pPr>
            <w:r>
              <w:rPr>
                <w:rFonts w:hint="eastAsia" w:ascii="宋体" w:hAnsi="宋体" w:eastAsia="宋体" w:cs="宋体"/>
                <w:b/>
                <w:color w:val="auto"/>
                <w:kern w:val="2"/>
                <w:sz w:val="28"/>
                <w:szCs w:val="28"/>
                <w:highlight w:val="none"/>
              </w:rPr>
              <w:t>常规养护</w:t>
            </w:r>
            <w:r>
              <w:rPr>
                <w:rFonts w:hint="eastAsia" w:ascii="宋体" w:hAnsi="宋体" w:eastAsia="宋体" w:cs="宋体"/>
                <w:b/>
                <w:color w:val="auto"/>
                <w:kern w:val="2"/>
                <w:sz w:val="28"/>
                <w:szCs w:val="28"/>
                <w:highlight w:val="none"/>
                <w:lang w:eastAsia="zh-CN"/>
              </w:rPr>
              <w:t>（</w:t>
            </w:r>
            <w:r>
              <w:rPr>
                <w:rFonts w:hint="eastAsia" w:ascii="宋体" w:hAnsi="宋体" w:eastAsia="宋体" w:cs="宋体"/>
                <w:b/>
                <w:color w:val="auto"/>
                <w:kern w:val="2"/>
                <w:sz w:val="28"/>
                <w:szCs w:val="28"/>
                <w:highlight w:val="none"/>
                <w:lang w:val="en-US" w:eastAsia="zh-CN"/>
              </w:rPr>
              <w:t>40分</w:t>
            </w:r>
            <w:r>
              <w:rPr>
                <w:rFonts w:hint="eastAsia" w:ascii="宋体" w:hAnsi="宋体" w:eastAsia="宋体" w:cs="宋体"/>
                <w:b/>
                <w:color w:val="auto"/>
                <w:kern w:val="2"/>
                <w:sz w:val="28"/>
                <w:szCs w:val="28"/>
                <w:highlight w:val="none"/>
                <w:lang w:eastAsia="zh-CN"/>
              </w:rPr>
              <w:t>）</w:t>
            </w:r>
          </w:p>
        </w:tc>
        <w:tc>
          <w:tcPr>
            <w:tcW w:w="2193" w:type="pct"/>
            <w:noWrap w:val="0"/>
            <w:vAlign w:val="center"/>
          </w:tcPr>
          <w:p w14:paraId="4390EB63">
            <w:pPr>
              <w:keepNext w:val="0"/>
              <w:keepLines w:val="0"/>
              <w:pageBreakBefore w:val="0"/>
              <w:widowControl/>
              <w:kinsoku/>
              <w:wordWrap/>
              <w:overflowPunct/>
              <w:topLinePunct w:val="0"/>
              <w:autoSpaceDE/>
              <w:autoSpaceDN/>
              <w:bidi w:val="0"/>
              <w:adjustRightInd/>
              <w:snapToGrid/>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rPr>
              <w:t>道路</w:t>
            </w:r>
            <w:r>
              <w:rPr>
                <w:rFonts w:hint="eastAsia" w:ascii="宋体" w:hAnsi="宋体" w:eastAsia="宋体" w:cs="宋体"/>
                <w:color w:val="auto"/>
                <w:kern w:val="0"/>
                <w:sz w:val="28"/>
                <w:szCs w:val="28"/>
                <w:highlight w:val="none"/>
                <w:lang w:val="en-US" w:eastAsia="zh-CN"/>
              </w:rPr>
              <w:t>机械</w:t>
            </w:r>
            <w:r>
              <w:rPr>
                <w:rFonts w:hint="eastAsia" w:ascii="宋体" w:hAnsi="宋体" w:eastAsia="宋体" w:cs="宋体"/>
                <w:color w:val="auto"/>
                <w:kern w:val="0"/>
                <w:sz w:val="28"/>
                <w:szCs w:val="28"/>
                <w:highlight w:val="none"/>
              </w:rPr>
              <w:t>清扫、洒水时间要求：（1）清扫保洁：</w:t>
            </w:r>
            <w:r>
              <w:rPr>
                <w:rFonts w:hint="eastAsia" w:ascii="宋体" w:hAnsi="宋体" w:eastAsia="宋体" w:cs="宋体"/>
                <w:color w:val="auto"/>
                <w:kern w:val="0"/>
                <w:sz w:val="28"/>
                <w:szCs w:val="28"/>
                <w:highlight w:val="none"/>
                <w:lang w:eastAsia="zh-CN"/>
              </w:rPr>
              <w:t>一类区域保洁</w:t>
            </w:r>
            <w:r>
              <w:rPr>
                <w:rFonts w:hint="eastAsia" w:ascii="宋体" w:hAnsi="宋体" w:eastAsia="宋体" w:cs="宋体"/>
                <w:color w:val="auto"/>
                <w:kern w:val="0"/>
                <w:sz w:val="28"/>
                <w:szCs w:val="28"/>
                <w:highlight w:val="none"/>
              </w:rPr>
              <w:t>道路≥8小时/日，机械清扫频次≥2次/日</w:t>
            </w:r>
            <w:r>
              <w:rPr>
                <w:rFonts w:hint="eastAsia" w:ascii="宋体" w:hAnsi="宋体" w:eastAsia="宋体" w:cs="宋体"/>
                <w:color w:val="auto"/>
                <w:kern w:val="0"/>
                <w:sz w:val="28"/>
                <w:szCs w:val="28"/>
                <w:highlight w:val="none"/>
                <w:lang w:eastAsia="zh-CN"/>
              </w:rPr>
              <w:t>；二类区域保洁</w:t>
            </w:r>
            <w:r>
              <w:rPr>
                <w:rFonts w:hint="eastAsia" w:ascii="宋体" w:hAnsi="宋体" w:eastAsia="宋体" w:cs="宋体"/>
                <w:color w:val="auto"/>
                <w:kern w:val="0"/>
                <w:sz w:val="28"/>
                <w:szCs w:val="28"/>
                <w:highlight w:val="none"/>
              </w:rPr>
              <w:t>道路≥</w:t>
            </w:r>
            <w:r>
              <w:rPr>
                <w:rFonts w:hint="eastAsia" w:ascii="宋体" w:hAnsi="宋体" w:eastAsia="宋体" w:cs="宋体"/>
                <w:color w:val="auto"/>
                <w:kern w:val="0"/>
                <w:sz w:val="28"/>
                <w:szCs w:val="28"/>
                <w:highlight w:val="none"/>
                <w:lang w:val="en-US" w:eastAsia="zh-CN"/>
              </w:rPr>
              <w:t>8</w:t>
            </w:r>
            <w:r>
              <w:rPr>
                <w:rFonts w:hint="eastAsia" w:ascii="宋体" w:hAnsi="宋体" w:eastAsia="宋体" w:cs="宋体"/>
                <w:color w:val="auto"/>
                <w:kern w:val="0"/>
                <w:sz w:val="28"/>
                <w:szCs w:val="28"/>
                <w:highlight w:val="none"/>
              </w:rPr>
              <w:t>小时/日，机械清扫频次≥</w:t>
            </w:r>
            <w:r>
              <w:rPr>
                <w:rFonts w:hint="eastAsia" w:ascii="宋体" w:hAnsi="宋体" w:eastAsia="宋体" w:cs="宋体"/>
                <w:color w:val="auto"/>
                <w:kern w:val="0"/>
                <w:sz w:val="28"/>
                <w:szCs w:val="28"/>
                <w:highlight w:val="none"/>
                <w:lang w:val="en-US" w:eastAsia="zh-CN"/>
              </w:rPr>
              <w:t>1</w:t>
            </w:r>
            <w:r>
              <w:rPr>
                <w:rFonts w:hint="eastAsia" w:ascii="宋体" w:hAnsi="宋体" w:eastAsia="宋体" w:cs="宋体"/>
                <w:color w:val="auto"/>
                <w:kern w:val="0"/>
                <w:sz w:val="28"/>
                <w:szCs w:val="28"/>
                <w:highlight w:val="none"/>
              </w:rPr>
              <w:t>次/</w:t>
            </w: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rPr>
              <w:t>日。（2）洒水频次≥</w:t>
            </w: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rPr>
              <w:t>次/日，</w:t>
            </w:r>
            <w:r>
              <w:rPr>
                <w:rFonts w:hint="eastAsia" w:ascii="宋体" w:hAnsi="宋体" w:eastAsia="宋体" w:cs="宋体"/>
                <w:color w:val="auto"/>
                <w:kern w:val="2"/>
                <w:sz w:val="28"/>
                <w:szCs w:val="28"/>
                <w:highlight w:val="none"/>
              </w:rPr>
              <w:t>所有洗扫车必须带水作业，不得扬尘。</w:t>
            </w:r>
            <w:r>
              <w:rPr>
                <w:rFonts w:hint="eastAsia" w:ascii="宋体" w:hAnsi="宋体" w:eastAsia="宋体" w:cs="宋体"/>
                <w:color w:val="auto"/>
                <w:kern w:val="2"/>
                <w:sz w:val="28"/>
                <w:szCs w:val="28"/>
                <w:highlight w:val="none"/>
                <w:lang w:val="en-US" w:eastAsia="zh-CN"/>
              </w:rPr>
              <w:t>每天第一次机扫在6点前完成，人行道冲洗在8点前完成</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共5分</w:t>
            </w:r>
            <w:r>
              <w:rPr>
                <w:rFonts w:hint="eastAsia" w:ascii="宋体" w:hAnsi="宋体" w:eastAsia="宋体" w:cs="宋体"/>
                <w:color w:val="auto"/>
                <w:kern w:val="2"/>
                <w:sz w:val="28"/>
                <w:szCs w:val="28"/>
                <w:highlight w:val="none"/>
                <w:lang w:eastAsia="zh-CN"/>
              </w:rPr>
              <w:t>）</w:t>
            </w:r>
          </w:p>
        </w:tc>
        <w:tc>
          <w:tcPr>
            <w:tcW w:w="2286" w:type="pct"/>
            <w:noWrap w:val="0"/>
            <w:vAlign w:val="top"/>
          </w:tcPr>
          <w:p w14:paraId="37203C4C">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rPr>
              <w:t>机扫车在规定时间内未完成清扫的，扣</w:t>
            </w:r>
            <w:r>
              <w:rPr>
                <w:rFonts w:hint="eastAsia" w:ascii="宋体" w:hAnsi="宋体" w:eastAsia="宋体" w:cs="宋体"/>
                <w:color w:val="auto"/>
                <w:kern w:val="2"/>
                <w:sz w:val="28"/>
                <w:szCs w:val="28"/>
                <w:highlight w:val="none"/>
                <w:lang w:val="en-US" w:eastAsia="zh-CN"/>
              </w:rPr>
              <w:t>1.5分</w:t>
            </w:r>
            <w:r>
              <w:rPr>
                <w:rFonts w:hint="eastAsia" w:ascii="宋体" w:hAnsi="宋体" w:eastAsia="宋体" w:cs="宋体"/>
                <w:color w:val="auto"/>
                <w:kern w:val="2"/>
                <w:sz w:val="28"/>
                <w:szCs w:val="28"/>
                <w:highlight w:val="none"/>
              </w:rPr>
              <w:t>。机扫车未清扫，扣</w:t>
            </w:r>
            <w:r>
              <w:rPr>
                <w:rFonts w:hint="eastAsia" w:ascii="宋体" w:hAnsi="宋体" w:eastAsia="宋体" w:cs="宋体"/>
                <w:color w:val="auto"/>
                <w:kern w:val="2"/>
                <w:sz w:val="28"/>
                <w:szCs w:val="28"/>
                <w:highlight w:val="none"/>
                <w:lang w:val="en-US" w:eastAsia="zh-CN"/>
              </w:rPr>
              <w:t>2.5</w:t>
            </w:r>
            <w:r>
              <w:rPr>
                <w:rFonts w:hint="eastAsia" w:ascii="宋体" w:hAnsi="宋体" w:eastAsia="宋体" w:cs="宋体"/>
                <w:color w:val="auto"/>
                <w:kern w:val="2"/>
                <w:sz w:val="28"/>
                <w:szCs w:val="28"/>
                <w:highlight w:val="none"/>
              </w:rPr>
              <w:t>分。洒水车在规定时间内未完成洒水</w:t>
            </w:r>
            <w:r>
              <w:rPr>
                <w:rFonts w:hint="eastAsia" w:ascii="宋体" w:hAnsi="宋体" w:eastAsia="宋体" w:cs="宋体"/>
                <w:color w:val="auto"/>
                <w:kern w:val="2"/>
                <w:sz w:val="28"/>
                <w:szCs w:val="28"/>
                <w:highlight w:val="none"/>
                <w:lang w:val="en-US" w:eastAsia="zh-CN"/>
              </w:rPr>
              <w:t xml:space="preserve">频次 </w:t>
            </w:r>
            <w:r>
              <w:rPr>
                <w:rFonts w:hint="eastAsia" w:ascii="宋体" w:hAnsi="宋体" w:eastAsia="宋体" w:cs="宋体"/>
                <w:color w:val="auto"/>
                <w:kern w:val="2"/>
                <w:sz w:val="28"/>
                <w:szCs w:val="28"/>
                <w:highlight w:val="none"/>
              </w:rPr>
              <w:t>，扣</w:t>
            </w:r>
            <w:r>
              <w:rPr>
                <w:rFonts w:hint="eastAsia" w:ascii="宋体" w:hAnsi="宋体" w:eastAsia="宋体" w:cs="宋体"/>
                <w:color w:val="auto"/>
                <w:kern w:val="2"/>
                <w:sz w:val="28"/>
                <w:szCs w:val="28"/>
                <w:highlight w:val="none"/>
                <w:lang w:val="en-US" w:eastAsia="zh-CN"/>
              </w:rPr>
              <w:t>1.5</w:t>
            </w:r>
            <w:r>
              <w:rPr>
                <w:rFonts w:hint="eastAsia" w:ascii="宋体" w:hAnsi="宋体" w:eastAsia="宋体" w:cs="宋体"/>
                <w:color w:val="auto"/>
                <w:kern w:val="2"/>
                <w:sz w:val="28"/>
                <w:szCs w:val="28"/>
                <w:highlight w:val="none"/>
              </w:rPr>
              <w:t>分。洒水车未洒水，扣</w:t>
            </w:r>
            <w:r>
              <w:rPr>
                <w:rFonts w:hint="eastAsia" w:ascii="宋体" w:hAnsi="宋体" w:eastAsia="宋体" w:cs="宋体"/>
                <w:color w:val="auto"/>
                <w:kern w:val="2"/>
                <w:sz w:val="28"/>
                <w:szCs w:val="28"/>
                <w:highlight w:val="none"/>
                <w:lang w:val="en-US" w:eastAsia="zh-CN"/>
              </w:rPr>
              <w:t>2.5</w:t>
            </w:r>
            <w:r>
              <w:rPr>
                <w:rFonts w:hint="eastAsia" w:ascii="宋体" w:hAnsi="宋体" w:eastAsia="宋体" w:cs="宋体"/>
                <w:color w:val="auto"/>
                <w:kern w:val="2"/>
                <w:sz w:val="28"/>
                <w:szCs w:val="28"/>
                <w:highlight w:val="none"/>
              </w:rPr>
              <w:t>分。</w:t>
            </w:r>
          </w:p>
        </w:tc>
      </w:tr>
      <w:tr w14:paraId="495E8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trPr>
        <w:tc>
          <w:tcPr>
            <w:tcW w:w="519" w:type="pct"/>
            <w:vMerge w:val="continue"/>
            <w:noWrap w:val="0"/>
            <w:vAlign w:val="center"/>
          </w:tcPr>
          <w:p w14:paraId="72A0824A">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rPr>
            </w:pPr>
          </w:p>
        </w:tc>
        <w:tc>
          <w:tcPr>
            <w:tcW w:w="2193" w:type="pct"/>
            <w:noWrap w:val="0"/>
            <w:vAlign w:val="center"/>
          </w:tcPr>
          <w:p w14:paraId="327A28F5">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rPr>
              <w:t>负责范围内果皮箱、公交站台</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路灯灯杆</w:t>
            </w:r>
            <w:r>
              <w:rPr>
                <w:rFonts w:hint="eastAsia" w:ascii="宋体" w:hAnsi="宋体" w:eastAsia="宋体" w:cs="宋体"/>
                <w:color w:val="auto"/>
                <w:kern w:val="2"/>
                <w:sz w:val="28"/>
                <w:szCs w:val="28"/>
                <w:highlight w:val="none"/>
              </w:rPr>
              <w:t>以及其他相关设施外立面清洁</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乱贴乱画等处理</w:t>
            </w:r>
            <w:r>
              <w:rPr>
                <w:rFonts w:hint="eastAsia" w:ascii="宋体" w:hAnsi="宋体" w:eastAsia="宋体" w:cs="宋体"/>
                <w:color w:val="auto"/>
                <w:kern w:val="2"/>
                <w:sz w:val="28"/>
                <w:szCs w:val="28"/>
                <w:highlight w:val="none"/>
              </w:rPr>
              <w:t>；</w:t>
            </w:r>
            <w:r>
              <w:rPr>
                <w:rFonts w:hint="eastAsia" w:ascii="宋体" w:hAnsi="宋体" w:eastAsia="宋体" w:cs="宋体"/>
                <w:color w:val="auto"/>
                <w:kern w:val="2"/>
                <w:sz w:val="28"/>
                <w:szCs w:val="28"/>
                <w:highlight w:val="none"/>
                <w:lang w:val="en-US" w:eastAsia="zh-CN"/>
              </w:rPr>
              <w:t>负责道路积水清除、扫雪除冰、非机动车排放等</w:t>
            </w:r>
            <w:r>
              <w:rPr>
                <w:rFonts w:hint="eastAsia" w:ascii="宋体" w:hAnsi="宋体" w:eastAsia="宋体" w:cs="宋体"/>
                <w:color w:val="auto"/>
                <w:kern w:val="2"/>
                <w:sz w:val="28"/>
                <w:szCs w:val="28"/>
                <w:highlight w:val="none"/>
              </w:rPr>
              <w:t>。</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5分</w:t>
            </w:r>
            <w:r>
              <w:rPr>
                <w:rFonts w:hint="eastAsia" w:ascii="宋体" w:hAnsi="宋体" w:eastAsia="宋体" w:cs="宋体"/>
                <w:color w:val="auto"/>
                <w:kern w:val="2"/>
                <w:sz w:val="28"/>
                <w:szCs w:val="28"/>
                <w:highlight w:val="none"/>
                <w:lang w:eastAsia="zh-CN"/>
              </w:rPr>
              <w:t>）</w:t>
            </w:r>
          </w:p>
        </w:tc>
        <w:tc>
          <w:tcPr>
            <w:tcW w:w="2286" w:type="pct"/>
            <w:noWrap w:val="0"/>
            <w:vAlign w:val="center"/>
          </w:tcPr>
          <w:p w14:paraId="460223EA">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相关设施外立面不干净，</w:t>
            </w:r>
            <w:r>
              <w:rPr>
                <w:rFonts w:hint="eastAsia" w:ascii="宋体" w:hAnsi="宋体" w:eastAsia="宋体" w:cs="宋体"/>
                <w:color w:val="auto"/>
                <w:kern w:val="2"/>
                <w:sz w:val="28"/>
                <w:szCs w:val="28"/>
                <w:highlight w:val="none"/>
              </w:rPr>
              <w:t>每1</w:t>
            </w:r>
            <w:r>
              <w:rPr>
                <w:rFonts w:hint="eastAsia" w:ascii="宋体" w:hAnsi="宋体" w:eastAsia="宋体" w:cs="宋体"/>
                <w:color w:val="auto"/>
                <w:kern w:val="2"/>
                <w:sz w:val="28"/>
                <w:szCs w:val="28"/>
                <w:highlight w:val="none"/>
                <w:lang w:val="en-US" w:eastAsia="zh-CN"/>
              </w:rPr>
              <w:t>处</w:t>
            </w:r>
            <w:r>
              <w:rPr>
                <w:rFonts w:hint="eastAsia" w:ascii="宋体" w:hAnsi="宋体" w:eastAsia="宋体" w:cs="宋体"/>
                <w:color w:val="auto"/>
                <w:kern w:val="2"/>
                <w:sz w:val="28"/>
                <w:szCs w:val="28"/>
                <w:highlight w:val="none"/>
              </w:rPr>
              <w:t>扣</w:t>
            </w:r>
            <w:r>
              <w:rPr>
                <w:rFonts w:hint="eastAsia" w:ascii="宋体" w:hAnsi="宋体" w:eastAsia="宋体" w:cs="宋体"/>
                <w:color w:val="auto"/>
                <w:kern w:val="2"/>
                <w:sz w:val="28"/>
                <w:szCs w:val="28"/>
                <w:highlight w:val="none"/>
                <w:lang w:val="en-US" w:eastAsia="zh-CN"/>
              </w:rPr>
              <w:t>0.3</w:t>
            </w:r>
            <w:r>
              <w:rPr>
                <w:rFonts w:hint="eastAsia" w:ascii="宋体" w:hAnsi="宋体" w:eastAsia="宋体" w:cs="宋体"/>
                <w:color w:val="auto"/>
                <w:kern w:val="2"/>
                <w:sz w:val="28"/>
                <w:szCs w:val="28"/>
                <w:highlight w:val="none"/>
              </w:rPr>
              <w:t>分</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存在乱贴乱画，每1处扣0.5分；非机动车排放不整齐，每1辆扣0.1分；未及时组织清理道路积水、积雪，每一处扣0.3分</w:t>
            </w:r>
            <w:r>
              <w:rPr>
                <w:rFonts w:hint="eastAsia" w:ascii="宋体" w:hAnsi="宋体" w:eastAsia="宋体" w:cs="宋体"/>
                <w:color w:val="auto"/>
                <w:kern w:val="2"/>
                <w:sz w:val="28"/>
                <w:szCs w:val="28"/>
                <w:highlight w:val="none"/>
              </w:rPr>
              <w:t>。</w:t>
            </w:r>
          </w:p>
        </w:tc>
      </w:tr>
      <w:tr w14:paraId="04228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trPr>
        <w:tc>
          <w:tcPr>
            <w:tcW w:w="519" w:type="pct"/>
            <w:vMerge w:val="continue"/>
            <w:noWrap w:val="0"/>
            <w:vAlign w:val="center"/>
          </w:tcPr>
          <w:p w14:paraId="7A9BA0E2">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rPr>
            </w:pPr>
          </w:p>
        </w:tc>
        <w:tc>
          <w:tcPr>
            <w:tcW w:w="2193" w:type="pct"/>
            <w:noWrap w:val="0"/>
            <w:vAlign w:val="center"/>
          </w:tcPr>
          <w:p w14:paraId="29423DC6">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lang w:val="en-US" w:eastAsia="zh-CN"/>
              </w:rPr>
              <w:t>机动车道、</w:t>
            </w:r>
            <w:r>
              <w:rPr>
                <w:rFonts w:hint="eastAsia" w:ascii="宋体" w:hAnsi="宋体" w:eastAsia="宋体" w:cs="宋体"/>
                <w:color w:val="auto"/>
                <w:kern w:val="2"/>
                <w:sz w:val="28"/>
                <w:szCs w:val="28"/>
                <w:highlight w:val="none"/>
              </w:rPr>
              <w:t>人行道</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绿化带、绿地</w:t>
            </w:r>
            <w:r>
              <w:rPr>
                <w:rFonts w:hint="eastAsia" w:ascii="宋体" w:hAnsi="宋体" w:eastAsia="宋体" w:cs="宋体"/>
                <w:color w:val="auto"/>
                <w:kern w:val="2"/>
                <w:sz w:val="28"/>
                <w:szCs w:val="28"/>
                <w:highlight w:val="none"/>
              </w:rPr>
              <w:t>不得有纸屑、烟头、</w:t>
            </w:r>
            <w:r>
              <w:rPr>
                <w:rFonts w:hint="eastAsia" w:ascii="宋体" w:hAnsi="宋体" w:eastAsia="宋体" w:cs="宋体"/>
                <w:color w:val="auto"/>
                <w:kern w:val="2"/>
                <w:sz w:val="28"/>
                <w:szCs w:val="28"/>
                <w:highlight w:val="none"/>
                <w:lang w:val="en-US" w:eastAsia="zh-CN"/>
              </w:rPr>
              <w:t>枯枝</w:t>
            </w:r>
            <w:r>
              <w:rPr>
                <w:rFonts w:hint="eastAsia" w:ascii="宋体" w:hAnsi="宋体" w:eastAsia="宋体" w:cs="宋体"/>
                <w:color w:val="auto"/>
                <w:kern w:val="2"/>
                <w:sz w:val="28"/>
                <w:szCs w:val="28"/>
                <w:highlight w:val="none"/>
              </w:rPr>
              <w:t>落叶、泥土</w:t>
            </w:r>
            <w:r>
              <w:rPr>
                <w:rFonts w:hint="eastAsia" w:ascii="宋体" w:hAnsi="宋体" w:eastAsia="宋体" w:cs="宋体"/>
                <w:color w:val="auto"/>
                <w:kern w:val="2"/>
                <w:sz w:val="28"/>
                <w:szCs w:val="28"/>
                <w:highlight w:val="none"/>
                <w:lang w:val="en-US" w:eastAsia="zh-CN"/>
              </w:rPr>
              <w:t>以及其他白色垃圾</w:t>
            </w:r>
            <w:r>
              <w:rPr>
                <w:rFonts w:hint="eastAsia" w:ascii="宋体" w:hAnsi="宋体" w:eastAsia="宋体" w:cs="宋体"/>
                <w:color w:val="auto"/>
                <w:kern w:val="2"/>
                <w:sz w:val="28"/>
                <w:szCs w:val="28"/>
                <w:highlight w:val="none"/>
              </w:rPr>
              <w:t>，人行道不得有杂草等杂物。</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15分</w:t>
            </w:r>
            <w:r>
              <w:rPr>
                <w:rFonts w:hint="eastAsia" w:ascii="宋体" w:hAnsi="宋体" w:eastAsia="宋体" w:cs="宋体"/>
                <w:color w:val="auto"/>
                <w:kern w:val="2"/>
                <w:sz w:val="28"/>
                <w:szCs w:val="28"/>
                <w:highlight w:val="none"/>
                <w:lang w:eastAsia="zh-CN"/>
              </w:rPr>
              <w:t>）</w:t>
            </w:r>
          </w:p>
        </w:tc>
        <w:tc>
          <w:tcPr>
            <w:tcW w:w="2286" w:type="pct"/>
            <w:noWrap w:val="0"/>
            <w:vAlign w:val="top"/>
          </w:tcPr>
          <w:p w14:paraId="535BC692">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每1</w:t>
            </w:r>
            <w:r>
              <w:rPr>
                <w:rFonts w:hint="eastAsia" w:ascii="宋体" w:hAnsi="宋体" w:eastAsia="宋体" w:cs="宋体"/>
                <w:color w:val="auto"/>
                <w:kern w:val="2"/>
                <w:sz w:val="28"/>
                <w:szCs w:val="28"/>
                <w:highlight w:val="none"/>
                <w:lang w:val="en-US" w:eastAsia="zh-CN"/>
              </w:rPr>
              <w:t>处</w:t>
            </w:r>
            <w:r>
              <w:rPr>
                <w:rFonts w:hint="eastAsia" w:ascii="宋体" w:hAnsi="宋体" w:eastAsia="宋体" w:cs="宋体"/>
                <w:color w:val="auto"/>
                <w:kern w:val="2"/>
                <w:sz w:val="28"/>
                <w:szCs w:val="28"/>
                <w:highlight w:val="none"/>
              </w:rPr>
              <w:t>烟头</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rPr>
              <w:t>纸屑、</w:t>
            </w:r>
            <w:r>
              <w:rPr>
                <w:rFonts w:hint="eastAsia" w:ascii="宋体" w:hAnsi="宋体" w:eastAsia="宋体" w:cs="宋体"/>
                <w:color w:val="auto"/>
                <w:kern w:val="2"/>
                <w:sz w:val="28"/>
                <w:szCs w:val="28"/>
                <w:highlight w:val="none"/>
                <w:lang w:val="en-US" w:eastAsia="zh-CN"/>
              </w:rPr>
              <w:t>枯枝</w:t>
            </w:r>
            <w:r>
              <w:rPr>
                <w:rFonts w:hint="eastAsia" w:ascii="宋体" w:hAnsi="宋体" w:eastAsia="宋体" w:cs="宋体"/>
                <w:color w:val="auto"/>
                <w:kern w:val="2"/>
                <w:sz w:val="28"/>
                <w:szCs w:val="28"/>
                <w:highlight w:val="none"/>
              </w:rPr>
              <w:t>落叶、泥土</w:t>
            </w:r>
            <w:r>
              <w:rPr>
                <w:rFonts w:hint="eastAsia" w:ascii="宋体" w:hAnsi="宋体" w:eastAsia="宋体" w:cs="宋体"/>
                <w:color w:val="auto"/>
                <w:kern w:val="2"/>
                <w:sz w:val="28"/>
                <w:szCs w:val="28"/>
                <w:highlight w:val="none"/>
                <w:lang w:val="en-US" w:eastAsia="zh-CN"/>
              </w:rPr>
              <w:t>、其他白色垃圾以及人行道杂草杂物扣0.1分</w:t>
            </w:r>
            <w:r>
              <w:rPr>
                <w:rFonts w:hint="eastAsia" w:ascii="宋体" w:hAnsi="宋体" w:eastAsia="宋体" w:cs="宋体"/>
                <w:color w:val="auto"/>
                <w:kern w:val="2"/>
                <w:sz w:val="28"/>
                <w:szCs w:val="28"/>
                <w:highlight w:val="none"/>
              </w:rPr>
              <w:t>，</w:t>
            </w:r>
            <w:r>
              <w:rPr>
                <w:rFonts w:hint="eastAsia" w:ascii="宋体" w:hAnsi="宋体" w:eastAsia="宋体" w:cs="宋体"/>
                <w:color w:val="auto"/>
                <w:kern w:val="2"/>
                <w:sz w:val="28"/>
                <w:szCs w:val="28"/>
                <w:highlight w:val="none"/>
                <w:lang w:val="en-US" w:eastAsia="zh-CN"/>
              </w:rPr>
              <w:t>路面、绿地有</w:t>
            </w:r>
            <w:r>
              <w:rPr>
                <w:rFonts w:hint="eastAsia" w:ascii="宋体" w:hAnsi="宋体" w:eastAsia="宋体" w:cs="宋体"/>
                <w:color w:val="auto"/>
                <w:kern w:val="2"/>
                <w:sz w:val="28"/>
                <w:szCs w:val="28"/>
                <w:highlight w:val="none"/>
              </w:rPr>
              <w:t>渣土、石子等，</w:t>
            </w:r>
            <w:r>
              <w:rPr>
                <w:rFonts w:hint="eastAsia" w:ascii="宋体" w:hAnsi="宋体" w:eastAsia="宋体" w:cs="宋体"/>
                <w:color w:val="auto"/>
                <w:kern w:val="2"/>
                <w:sz w:val="28"/>
                <w:szCs w:val="28"/>
                <w:highlight w:val="none"/>
                <w:lang w:val="en-US" w:eastAsia="zh-CN"/>
              </w:rPr>
              <w:t>面积&lt;1m</w:t>
            </w:r>
            <w:r>
              <w:rPr>
                <w:rFonts w:hint="eastAsia" w:ascii="宋体" w:hAnsi="宋体" w:eastAsia="宋体" w:cs="宋体"/>
                <w:color w:val="auto"/>
                <w:kern w:val="2"/>
                <w:sz w:val="28"/>
                <w:szCs w:val="28"/>
                <w:highlight w:val="none"/>
                <w:vertAlign w:val="superscript"/>
                <w:lang w:val="en-US" w:eastAsia="zh-CN"/>
              </w:rPr>
              <w:t>2</w:t>
            </w:r>
            <w:r>
              <w:rPr>
                <w:rFonts w:hint="eastAsia" w:ascii="宋体" w:hAnsi="宋体" w:eastAsia="宋体" w:cs="宋体"/>
                <w:color w:val="auto"/>
                <w:kern w:val="2"/>
                <w:sz w:val="28"/>
                <w:szCs w:val="28"/>
                <w:highlight w:val="none"/>
                <w:vertAlign w:val="baseline"/>
                <w:lang w:val="en-US" w:eastAsia="zh-CN"/>
              </w:rPr>
              <w:t>每处</w:t>
            </w:r>
            <w:r>
              <w:rPr>
                <w:rFonts w:hint="eastAsia" w:ascii="宋体" w:hAnsi="宋体" w:eastAsia="宋体" w:cs="宋体"/>
                <w:color w:val="auto"/>
                <w:kern w:val="2"/>
                <w:sz w:val="28"/>
                <w:szCs w:val="28"/>
                <w:highlight w:val="none"/>
              </w:rPr>
              <w:t>扣</w:t>
            </w:r>
            <w:r>
              <w:rPr>
                <w:rFonts w:hint="eastAsia" w:ascii="宋体" w:hAnsi="宋体" w:eastAsia="宋体" w:cs="宋体"/>
                <w:color w:val="auto"/>
                <w:kern w:val="2"/>
                <w:sz w:val="28"/>
                <w:szCs w:val="28"/>
                <w:highlight w:val="none"/>
                <w:lang w:val="en-US" w:eastAsia="zh-CN"/>
              </w:rPr>
              <w:t>1</w:t>
            </w:r>
            <w:r>
              <w:rPr>
                <w:rFonts w:hint="eastAsia" w:ascii="宋体" w:hAnsi="宋体" w:eastAsia="宋体" w:cs="宋体"/>
                <w:color w:val="auto"/>
                <w:kern w:val="2"/>
                <w:sz w:val="28"/>
                <w:szCs w:val="28"/>
                <w:highlight w:val="none"/>
              </w:rPr>
              <w:t>分</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面积&gt;1m</w:t>
            </w:r>
            <w:r>
              <w:rPr>
                <w:rFonts w:hint="eastAsia" w:ascii="宋体" w:hAnsi="宋体" w:eastAsia="宋体" w:cs="宋体"/>
                <w:color w:val="auto"/>
                <w:kern w:val="2"/>
                <w:sz w:val="28"/>
                <w:szCs w:val="28"/>
                <w:highlight w:val="none"/>
                <w:vertAlign w:val="superscript"/>
                <w:lang w:val="en-US" w:eastAsia="zh-CN"/>
              </w:rPr>
              <w:t>2</w:t>
            </w:r>
            <w:r>
              <w:rPr>
                <w:rFonts w:hint="eastAsia" w:ascii="宋体" w:hAnsi="宋体" w:eastAsia="宋体" w:cs="宋体"/>
                <w:color w:val="auto"/>
                <w:kern w:val="2"/>
                <w:sz w:val="28"/>
                <w:szCs w:val="28"/>
                <w:highlight w:val="none"/>
                <w:vertAlign w:val="baseline"/>
                <w:lang w:val="en-US" w:eastAsia="zh-CN"/>
              </w:rPr>
              <w:t>每处</w:t>
            </w:r>
            <w:r>
              <w:rPr>
                <w:rFonts w:hint="eastAsia" w:ascii="宋体" w:hAnsi="宋体" w:eastAsia="宋体" w:cs="宋体"/>
                <w:color w:val="auto"/>
                <w:kern w:val="2"/>
                <w:sz w:val="28"/>
                <w:szCs w:val="28"/>
                <w:highlight w:val="none"/>
              </w:rPr>
              <w:t>扣</w:t>
            </w:r>
            <w:r>
              <w:rPr>
                <w:rFonts w:hint="eastAsia" w:ascii="宋体" w:hAnsi="宋体" w:eastAsia="宋体" w:cs="宋体"/>
                <w:color w:val="auto"/>
                <w:kern w:val="2"/>
                <w:sz w:val="28"/>
                <w:szCs w:val="28"/>
                <w:highlight w:val="none"/>
                <w:lang w:val="en-US" w:eastAsia="zh-CN"/>
              </w:rPr>
              <w:t>2</w:t>
            </w:r>
            <w:r>
              <w:rPr>
                <w:rFonts w:hint="eastAsia" w:ascii="宋体" w:hAnsi="宋体" w:eastAsia="宋体" w:cs="宋体"/>
                <w:color w:val="auto"/>
                <w:kern w:val="2"/>
                <w:sz w:val="28"/>
                <w:szCs w:val="28"/>
                <w:highlight w:val="none"/>
              </w:rPr>
              <w:t>分。</w:t>
            </w:r>
          </w:p>
        </w:tc>
      </w:tr>
      <w:tr w14:paraId="05740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trPr>
        <w:tc>
          <w:tcPr>
            <w:tcW w:w="519" w:type="pct"/>
            <w:vMerge w:val="continue"/>
            <w:noWrap w:val="0"/>
            <w:vAlign w:val="center"/>
          </w:tcPr>
          <w:p w14:paraId="36C18930">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rPr>
            </w:pPr>
          </w:p>
        </w:tc>
        <w:tc>
          <w:tcPr>
            <w:tcW w:w="2193" w:type="pct"/>
            <w:noWrap w:val="0"/>
            <w:vAlign w:val="center"/>
          </w:tcPr>
          <w:p w14:paraId="6FBA5DDD">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rPr>
              <w:t>清扫的垃圾及时清运</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日产日清，不得</w:t>
            </w:r>
            <w:r>
              <w:rPr>
                <w:rFonts w:hint="eastAsia" w:ascii="宋体" w:hAnsi="宋体" w:eastAsia="宋体" w:cs="宋体"/>
                <w:color w:val="auto"/>
                <w:kern w:val="2"/>
                <w:sz w:val="28"/>
                <w:szCs w:val="28"/>
                <w:highlight w:val="none"/>
              </w:rPr>
              <w:t>向绿化带</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低洼处</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周边空地及雨水篦子等地方</w:t>
            </w:r>
            <w:r>
              <w:rPr>
                <w:rFonts w:hint="eastAsia" w:ascii="宋体" w:hAnsi="宋体" w:eastAsia="宋体" w:cs="宋体"/>
                <w:color w:val="auto"/>
                <w:kern w:val="2"/>
                <w:sz w:val="28"/>
                <w:szCs w:val="28"/>
                <w:highlight w:val="none"/>
              </w:rPr>
              <w:t>倾倒垃圾。</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3分</w:t>
            </w:r>
            <w:r>
              <w:rPr>
                <w:rFonts w:hint="eastAsia" w:ascii="宋体" w:hAnsi="宋体" w:eastAsia="宋体" w:cs="宋体"/>
                <w:color w:val="auto"/>
                <w:kern w:val="2"/>
                <w:sz w:val="28"/>
                <w:szCs w:val="28"/>
                <w:highlight w:val="none"/>
                <w:lang w:eastAsia="zh-CN"/>
              </w:rPr>
              <w:t>）</w:t>
            </w:r>
          </w:p>
        </w:tc>
        <w:tc>
          <w:tcPr>
            <w:tcW w:w="2286" w:type="pct"/>
            <w:noWrap w:val="0"/>
            <w:vAlign w:val="center"/>
          </w:tcPr>
          <w:p w14:paraId="43C06EC5">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如发现一次，扣</w:t>
            </w:r>
            <w:r>
              <w:rPr>
                <w:rFonts w:hint="eastAsia" w:ascii="宋体" w:hAnsi="宋体" w:eastAsia="宋体" w:cs="宋体"/>
                <w:color w:val="auto"/>
                <w:kern w:val="2"/>
                <w:sz w:val="28"/>
                <w:szCs w:val="28"/>
                <w:highlight w:val="none"/>
                <w:lang w:val="en-US" w:eastAsia="zh-CN"/>
              </w:rPr>
              <w:t>2</w:t>
            </w:r>
            <w:r>
              <w:rPr>
                <w:rFonts w:hint="eastAsia" w:ascii="宋体" w:hAnsi="宋体" w:eastAsia="宋体" w:cs="宋体"/>
                <w:color w:val="auto"/>
                <w:kern w:val="2"/>
                <w:sz w:val="28"/>
                <w:szCs w:val="28"/>
                <w:highlight w:val="none"/>
              </w:rPr>
              <w:t>分。发现</w:t>
            </w:r>
            <w:r>
              <w:rPr>
                <w:rFonts w:hint="eastAsia" w:ascii="宋体" w:hAnsi="宋体" w:eastAsia="宋体" w:cs="宋体"/>
                <w:color w:val="auto"/>
                <w:kern w:val="2"/>
                <w:sz w:val="28"/>
                <w:szCs w:val="28"/>
                <w:highlight w:val="none"/>
                <w:lang w:val="en-US" w:eastAsia="zh-CN"/>
              </w:rPr>
              <w:t>2</w:t>
            </w:r>
            <w:r>
              <w:rPr>
                <w:rFonts w:hint="eastAsia" w:ascii="宋体" w:hAnsi="宋体" w:eastAsia="宋体" w:cs="宋体"/>
                <w:color w:val="auto"/>
                <w:kern w:val="2"/>
                <w:sz w:val="28"/>
                <w:szCs w:val="28"/>
                <w:highlight w:val="none"/>
              </w:rPr>
              <w:t>次</w:t>
            </w:r>
            <w:r>
              <w:rPr>
                <w:rFonts w:hint="eastAsia" w:ascii="宋体" w:hAnsi="宋体" w:eastAsia="宋体" w:cs="宋体"/>
                <w:color w:val="auto"/>
                <w:kern w:val="2"/>
                <w:sz w:val="28"/>
                <w:szCs w:val="28"/>
                <w:highlight w:val="none"/>
                <w:lang w:val="en-US" w:eastAsia="zh-CN"/>
              </w:rPr>
              <w:t>该项不得分</w:t>
            </w:r>
            <w:r>
              <w:rPr>
                <w:rFonts w:hint="eastAsia" w:ascii="宋体" w:hAnsi="宋体" w:eastAsia="宋体" w:cs="宋体"/>
                <w:color w:val="auto"/>
                <w:kern w:val="2"/>
                <w:sz w:val="28"/>
                <w:szCs w:val="28"/>
                <w:highlight w:val="none"/>
              </w:rPr>
              <w:t>。</w:t>
            </w:r>
          </w:p>
        </w:tc>
      </w:tr>
      <w:tr w14:paraId="1DEF6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trPr>
        <w:tc>
          <w:tcPr>
            <w:tcW w:w="519" w:type="pct"/>
            <w:vMerge w:val="continue"/>
            <w:noWrap w:val="0"/>
            <w:vAlign w:val="center"/>
          </w:tcPr>
          <w:p w14:paraId="4765580B">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rPr>
            </w:pPr>
          </w:p>
        </w:tc>
        <w:tc>
          <w:tcPr>
            <w:tcW w:w="2193" w:type="pct"/>
            <w:noWrap w:val="0"/>
            <w:vAlign w:val="center"/>
          </w:tcPr>
          <w:p w14:paraId="79CC3DB5">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0"/>
                <w:sz w:val="28"/>
                <w:szCs w:val="28"/>
                <w:highlight w:val="none"/>
                <w:lang w:val="en-US" w:eastAsia="zh-CN"/>
              </w:rPr>
              <w:t>道路常规保洁实行路段保洁责任制，明确责任分工</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2.5分</w:t>
            </w:r>
            <w:r>
              <w:rPr>
                <w:rFonts w:hint="eastAsia" w:ascii="宋体" w:hAnsi="宋体" w:eastAsia="宋体" w:cs="宋体"/>
                <w:color w:val="auto"/>
                <w:kern w:val="0"/>
                <w:sz w:val="28"/>
                <w:szCs w:val="28"/>
                <w:highlight w:val="none"/>
                <w:lang w:eastAsia="zh-CN"/>
              </w:rPr>
              <w:t>）</w:t>
            </w:r>
          </w:p>
        </w:tc>
        <w:tc>
          <w:tcPr>
            <w:tcW w:w="2286" w:type="pct"/>
            <w:noWrap w:val="0"/>
            <w:vAlign w:val="center"/>
          </w:tcPr>
          <w:p w14:paraId="1A412B1B">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lang w:val="en-US" w:eastAsia="zh-CN"/>
              </w:rPr>
              <w:t>分工不明确影响保洁成效的酌情扣分</w:t>
            </w:r>
          </w:p>
        </w:tc>
      </w:tr>
      <w:tr w14:paraId="6FB71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trPr>
        <w:tc>
          <w:tcPr>
            <w:tcW w:w="519" w:type="pct"/>
            <w:vMerge w:val="continue"/>
            <w:noWrap w:val="0"/>
            <w:vAlign w:val="center"/>
          </w:tcPr>
          <w:p w14:paraId="47F153B6">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rPr>
            </w:pPr>
          </w:p>
        </w:tc>
        <w:tc>
          <w:tcPr>
            <w:tcW w:w="2193" w:type="pct"/>
            <w:noWrap w:val="0"/>
            <w:vAlign w:val="center"/>
          </w:tcPr>
          <w:p w14:paraId="18A0D5D5">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rPr>
              <w:t>清洗污染较为严重的路面时</w:t>
            </w:r>
            <w:r>
              <w:rPr>
                <w:rFonts w:hint="eastAsia" w:ascii="宋体" w:hAnsi="宋体" w:eastAsia="宋体" w:cs="宋体"/>
                <w:color w:val="auto"/>
                <w:kern w:val="0"/>
                <w:sz w:val="28"/>
                <w:szCs w:val="28"/>
                <w:highlight w:val="none"/>
                <w:lang w:val="en-US" w:eastAsia="zh-CN"/>
              </w:rPr>
              <w:t>要</w:t>
            </w:r>
            <w:r>
              <w:rPr>
                <w:rFonts w:hint="eastAsia" w:ascii="宋体" w:hAnsi="宋体" w:eastAsia="宋体" w:cs="宋体"/>
                <w:color w:val="auto"/>
                <w:kern w:val="0"/>
                <w:sz w:val="28"/>
                <w:szCs w:val="28"/>
                <w:highlight w:val="none"/>
              </w:rPr>
              <w:t>反复冲洗，直至路面见本色</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2.5分</w:t>
            </w:r>
            <w:r>
              <w:rPr>
                <w:rFonts w:hint="eastAsia" w:ascii="宋体" w:hAnsi="宋体" w:eastAsia="宋体" w:cs="宋体"/>
                <w:color w:val="auto"/>
                <w:kern w:val="0"/>
                <w:sz w:val="28"/>
                <w:szCs w:val="28"/>
                <w:highlight w:val="none"/>
                <w:lang w:eastAsia="zh-CN"/>
              </w:rPr>
              <w:t>）</w:t>
            </w:r>
          </w:p>
        </w:tc>
        <w:tc>
          <w:tcPr>
            <w:tcW w:w="2286" w:type="pct"/>
            <w:noWrap w:val="0"/>
            <w:vAlign w:val="center"/>
          </w:tcPr>
          <w:p w14:paraId="7CA140DC">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路面不见本色</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1处扣0.5分</w:t>
            </w:r>
          </w:p>
        </w:tc>
      </w:tr>
      <w:tr w14:paraId="688CA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0" w:hRule="atLeast"/>
        </w:trPr>
        <w:tc>
          <w:tcPr>
            <w:tcW w:w="519" w:type="pct"/>
            <w:vMerge w:val="continue"/>
            <w:noWrap w:val="0"/>
            <w:vAlign w:val="center"/>
          </w:tcPr>
          <w:p w14:paraId="4C9B7A16">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rPr>
            </w:pPr>
          </w:p>
        </w:tc>
        <w:tc>
          <w:tcPr>
            <w:tcW w:w="2193" w:type="pct"/>
            <w:noWrap w:val="0"/>
            <w:vAlign w:val="center"/>
          </w:tcPr>
          <w:p w14:paraId="287FAF8A">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一类保洁道路在8点-9点间必须保持路面湿润（1分）</w:t>
            </w:r>
          </w:p>
        </w:tc>
        <w:tc>
          <w:tcPr>
            <w:tcW w:w="2286" w:type="pct"/>
            <w:noWrap w:val="0"/>
            <w:vAlign w:val="center"/>
          </w:tcPr>
          <w:p w14:paraId="4DFDD400">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1条道路不湿润，扣0.5分；2条道路不湿润该项不得分</w:t>
            </w:r>
          </w:p>
        </w:tc>
      </w:tr>
      <w:tr w14:paraId="453F9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1" w:hRule="atLeast"/>
        </w:trPr>
        <w:tc>
          <w:tcPr>
            <w:tcW w:w="519" w:type="pct"/>
            <w:vMerge w:val="continue"/>
            <w:noWrap w:val="0"/>
            <w:vAlign w:val="center"/>
          </w:tcPr>
          <w:p w14:paraId="59311ABF">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rPr>
            </w:pPr>
          </w:p>
        </w:tc>
        <w:tc>
          <w:tcPr>
            <w:tcW w:w="2193" w:type="pct"/>
            <w:noWrap w:val="0"/>
            <w:vAlign w:val="center"/>
          </w:tcPr>
          <w:p w14:paraId="1360A85B">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rPr>
              <w:t>如道路中分带或侧分带有护栏的，必须</w:t>
            </w:r>
            <w:r>
              <w:rPr>
                <w:rFonts w:hint="eastAsia" w:ascii="宋体" w:hAnsi="宋体" w:eastAsia="宋体" w:cs="宋体"/>
                <w:color w:val="auto"/>
                <w:kern w:val="2"/>
                <w:sz w:val="28"/>
                <w:szCs w:val="28"/>
                <w:highlight w:val="none"/>
                <w:lang w:val="en-US" w:eastAsia="zh-CN"/>
              </w:rPr>
              <w:t>每10天</w:t>
            </w:r>
            <w:r>
              <w:rPr>
                <w:rFonts w:hint="eastAsia" w:ascii="宋体" w:hAnsi="宋体" w:eastAsia="宋体" w:cs="宋体"/>
                <w:color w:val="auto"/>
                <w:kern w:val="2"/>
                <w:sz w:val="28"/>
                <w:szCs w:val="28"/>
                <w:highlight w:val="none"/>
              </w:rPr>
              <w:t>清洗</w:t>
            </w:r>
            <w:r>
              <w:rPr>
                <w:rFonts w:hint="eastAsia" w:ascii="宋体" w:hAnsi="宋体" w:eastAsia="宋体" w:cs="宋体"/>
                <w:color w:val="auto"/>
                <w:kern w:val="2"/>
                <w:sz w:val="28"/>
                <w:szCs w:val="28"/>
                <w:highlight w:val="none"/>
                <w:lang w:val="en-US" w:eastAsia="zh-CN"/>
              </w:rPr>
              <w:t>1次</w:t>
            </w:r>
            <w:r>
              <w:rPr>
                <w:rFonts w:hint="eastAsia" w:ascii="宋体" w:hAnsi="宋体" w:eastAsia="宋体" w:cs="宋体"/>
                <w:color w:val="auto"/>
                <w:kern w:val="2"/>
                <w:sz w:val="28"/>
                <w:szCs w:val="28"/>
                <w:highlight w:val="none"/>
              </w:rPr>
              <w:t>。</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1分</w:t>
            </w:r>
            <w:r>
              <w:rPr>
                <w:rFonts w:hint="eastAsia" w:ascii="宋体" w:hAnsi="宋体" w:eastAsia="宋体" w:cs="宋体"/>
                <w:color w:val="auto"/>
                <w:kern w:val="2"/>
                <w:sz w:val="28"/>
                <w:szCs w:val="28"/>
                <w:highlight w:val="none"/>
                <w:lang w:eastAsia="zh-CN"/>
              </w:rPr>
              <w:t>）</w:t>
            </w:r>
          </w:p>
        </w:tc>
        <w:tc>
          <w:tcPr>
            <w:tcW w:w="2286" w:type="pct"/>
            <w:noWrap w:val="0"/>
            <w:vAlign w:val="center"/>
          </w:tcPr>
          <w:p w14:paraId="7D5A82B0">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如未清洗的路段，有</w:t>
            </w:r>
            <w:r>
              <w:rPr>
                <w:rFonts w:hint="eastAsia" w:ascii="宋体" w:hAnsi="宋体" w:eastAsia="宋体" w:cs="宋体"/>
                <w:color w:val="auto"/>
                <w:kern w:val="2"/>
                <w:sz w:val="28"/>
                <w:szCs w:val="28"/>
                <w:highlight w:val="none"/>
                <w:lang w:val="en-US" w:eastAsia="zh-CN"/>
              </w:rPr>
              <w:t>1</w:t>
            </w:r>
            <w:r>
              <w:rPr>
                <w:rFonts w:hint="eastAsia" w:ascii="宋体" w:hAnsi="宋体" w:eastAsia="宋体" w:cs="宋体"/>
                <w:color w:val="auto"/>
                <w:kern w:val="2"/>
                <w:sz w:val="28"/>
                <w:szCs w:val="28"/>
                <w:highlight w:val="none"/>
              </w:rPr>
              <w:t>段扣</w:t>
            </w:r>
            <w:r>
              <w:rPr>
                <w:rFonts w:hint="eastAsia" w:ascii="宋体" w:hAnsi="宋体" w:eastAsia="宋体" w:cs="宋体"/>
                <w:color w:val="auto"/>
                <w:kern w:val="2"/>
                <w:sz w:val="28"/>
                <w:szCs w:val="28"/>
                <w:highlight w:val="none"/>
                <w:lang w:val="en-US" w:eastAsia="zh-CN"/>
              </w:rPr>
              <w:t>0.5</w:t>
            </w:r>
            <w:r>
              <w:rPr>
                <w:rFonts w:hint="eastAsia" w:ascii="宋体" w:hAnsi="宋体" w:eastAsia="宋体" w:cs="宋体"/>
                <w:color w:val="auto"/>
                <w:kern w:val="2"/>
                <w:sz w:val="28"/>
                <w:szCs w:val="28"/>
                <w:highlight w:val="none"/>
              </w:rPr>
              <w:t>分。</w:t>
            </w:r>
          </w:p>
        </w:tc>
      </w:tr>
      <w:tr w14:paraId="1B09F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1" w:hRule="atLeast"/>
        </w:trPr>
        <w:tc>
          <w:tcPr>
            <w:tcW w:w="519" w:type="pct"/>
            <w:vMerge w:val="continue"/>
            <w:noWrap w:val="0"/>
            <w:vAlign w:val="center"/>
          </w:tcPr>
          <w:p w14:paraId="2E117687">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rPr>
            </w:pPr>
          </w:p>
        </w:tc>
        <w:tc>
          <w:tcPr>
            <w:tcW w:w="2193" w:type="pct"/>
            <w:noWrap w:val="0"/>
            <w:vAlign w:val="center"/>
          </w:tcPr>
          <w:p w14:paraId="35ABBA44">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rPr>
              <w:t>保洁人员如发现路面上有小广告，或是未凝固的混凝土</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rPr>
              <w:t>必须在发现后清理掉。</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2.5分</w:t>
            </w:r>
            <w:r>
              <w:rPr>
                <w:rFonts w:hint="eastAsia" w:ascii="宋体" w:hAnsi="宋体" w:eastAsia="宋体" w:cs="宋体"/>
                <w:color w:val="auto"/>
                <w:kern w:val="2"/>
                <w:sz w:val="28"/>
                <w:szCs w:val="28"/>
                <w:highlight w:val="none"/>
                <w:lang w:eastAsia="zh-CN"/>
              </w:rPr>
              <w:t>）</w:t>
            </w:r>
          </w:p>
        </w:tc>
        <w:tc>
          <w:tcPr>
            <w:tcW w:w="2286" w:type="pct"/>
            <w:noWrap w:val="0"/>
            <w:vAlign w:val="center"/>
          </w:tcPr>
          <w:p w14:paraId="2A0A32E9">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如未</w:t>
            </w:r>
            <w:r>
              <w:rPr>
                <w:rFonts w:hint="eastAsia" w:ascii="宋体" w:hAnsi="宋体" w:eastAsia="宋体" w:cs="宋体"/>
                <w:color w:val="auto"/>
                <w:kern w:val="2"/>
                <w:sz w:val="28"/>
                <w:szCs w:val="28"/>
                <w:highlight w:val="none"/>
                <w:lang w:val="en-US" w:eastAsia="zh-CN"/>
              </w:rPr>
              <w:t>及时</w:t>
            </w:r>
            <w:r>
              <w:rPr>
                <w:rFonts w:hint="eastAsia" w:ascii="宋体" w:hAnsi="宋体" w:eastAsia="宋体" w:cs="宋体"/>
                <w:color w:val="auto"/>
                <w:kern w:val="2"/>
                <w:sz w:val="28"/>
                <w:szCs w:val="28"/>
                <w:highlight w:val="none"/>
              </w:rPr>
              <w:t>清理的。发现</w:t>
            </w:r>
            <w:r>
              <w:rPr>
                <w:rFonts w:hint="eastAsia" w:ascii="宋体" w:hAnsi="宋体" w:eastAsia="宋体" w:cs="宋体"/>
                <w:color w:val="auto"/>
                <w:kern w:val="2"/>
                <w:sz w:val="28"/>
                <w:szCs w:val="28"/>
                <w:highlight w:val="none"/>
                <w:lang w:val="en-US" w:eastAsia="zh-CN"/>
              </w:rPr>
              <w:t>1</w:t>
            </w:r>
            <w:r>
              <w:rPr>
                <w:rFonts w:hint="eastAsia" w:ascii="宋体" w:hAnsi="宋体" w:eastAsia="宋体" w:cs="宋体"/>
                <w:color w:val="auto"/>
                <w:kern w:val="2"/>
                <w:sz w:val="28"/>
                <w:szCs w:val="28"/>
                <w:highlight w:val="none"/>
              </w:rPr>
              <w:t>处扣</w:t>
            </w:r>
            <w:r>
              <w:rPr>
                <w:rFonts w:hint="eastAsia" w:ascii="宋体" w:hAnsi="宋体" w:eastAsia="宋体" w:cs="宋体"/>
                <w:color w:val="auto"/>
                <w:kern w:val="2"/>
                <w:sz w:val="28"/>
                <w:szCs w:val="28"/>
                <w:highlight w:val="none"/>
                <w:lang w:val="en-US" w:eastAsia="zh-CN"/>
              </w:rPr>
              <w:t>0.5</w:t>
            </w:r>
            <w:r>
              <w:rPr>
                <w:rFonts w:hint="eastAsia" w:ascii="宋体" w:hAnsi="宋体" w:eastAsia="宋体" w:cs="宋体"/>
                <w:color w:val="auto"/>
                <w:kern w:val="2"/>
                <w:sz w:val="28"/>
                <w:szCs w:val="28"/>
                <w:highlight w:val="none"/>
              </w:rPr>
              <w:t>分。</w:t>
            </w:r>
          </w:p>
        </w:tc>
      </w:tr>
      <w:tr w14:paraId="69C4F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5" w:hRule="atLeast"/>
        </w:trPr>
        <w:tc>
          <w:tcPr>
            <w:tcW w:w="519" w:type="pct"/>
            <w:vMerge w:val="continue"/>
            <w:noWrap w:val="0"/>
            <w:vAlign w:val="center"/>
          </w:tcPr>
          <w:p w14:paraId="5B8FD0B8">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rPr>
            </w:pPr>
          </w:p>
        </w:tc>
        <w:tc>
          <w:tcPr>
            <w:tcW w:w="2193" w:type="pct"/>
            <w:noWrap w:val="0"/>
            <w:vAlign w:val="center"/>
          </w:tcPr>
          <w:p w14:paraId="429D92EC">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积极配合涉及的重大活动和检查保障，加强保洁强度（2.5分）</w:t>
            </w:r>
          </w:p>
        </w:tc>
        <w:tc>
          <w:tcPr>
            <w:tcW w:w="2286" w:type="pct"/>
            <w:noWrap w:val="0"/>
            <w:vAlign w:val="center"/>
          </w:tcPr>
          <w:p w14:paraId="49ABC527">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未加强保洁强度和频次酌情扣分</w:t>
            </w:r>
            <w:r>
              <w:rPr>
                <w:rFonts w:hint="eastAsia" w:ascii="宋体" w:hAnsi="宋体" w:eastAsia="宋体" w:cs="宋体"/>
                <w:color w:val="auto"/>
                <w:kern w:val="2"/>
                <w:sz w:val="28"/>
                <w:szCs w:val="28"/>
                <w:highlight w:val="none"/>
              </w:rPr>
              <w:t>。</w:t>
            </w:r>
          </w:p>
        </w:tc>
      </w:tr>
      <w:tr w14:paraId="59C62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6" w:hRule="atLeast"/>
        </w:trPr>
        <w:tc>
          <w:tcPr>
            <w:tcW w:w="519" w:type="pct"/>
            <w:vMerge w:val="restart"/>
            <w:noWrap w:val="0"/>
            <w:vAlign w:val="center"/>
          </w:tcPr>
          <w:p w14:paraId="77E43E74">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color w:val="auto"/>
                <w:kern w:val="2"/>
                <w:sz w:val="28"/>
                <w:szCs w:val="28"/>
                <w:highlight w:val="none"/>
                <w:lang w:val="en-US" w:eastAsia="zh-CN"/>
              </w:rPr>
            </w:pPr>
            <w:r>
              <w:rPr>
                <w:rFonts w:hint="eastAsia" w:ascii="宋体" w:hAnsi="宋体" w:eastAsia="宋体" w:cs="宋体"/>
                <w:b/>
                <w:color w:val="auto"/>
                <w:kern w:val="2"/>
                <w:sz w:val="28"/>
                <w:szCs w:val="28"/>
                <w:highlight w:val="none"/>
                <w:lang w:val="en-US" w:eastAsia="zh-CN"/>
              </w:rPr>
              <w:t>日常</w:t>
            </w:r>
          </w:p>
          <w:p w14:paraId="3F675310">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color w:val="auto"/>
                <w:kern w:val="2"/>
                <w:sz w:val="28"/>
                <w:szCs w:val="28"/>
                <w:highlight w:val="none"/>
                <w:lang w:eastAsia="zh-CN"/>
              </w:rPr>
            </w:pPr>
            <w:r>
              <w:rPr>
                <w:rFonts w:hint="eastAsia" w:ascii="宋体" w:hAnsi="宋体" w:eastAsia="宋体" w:cs="宋体"/>
                <w:b/>
                <w:color w:val="auto"/>
                <w:kern w:val="2"/>
                <w:sz w:val="28"/>
                <w:szCs w:val="28"/>
                <w:highlight w:val="none"/>
                <w:lang w:val="en-US" w:eastAsia="zh-CN"/>
              </w:rPr>
              <w:t xml:space="preserve">管理   </w:t>
            </w:r>
            <w:r>
              <w:rPr>
                <w:rFonts w:hint="eastAsia" w:ascii="宋体" w:hAnsi="宋体" w:eastAsia="宋体" w:cs="宋体"/>
                <w:b/>
                <w:color w:val="auto"/>
                <w:kern w:val="2"/>
                <w:sz w:val="28"/>
                <w:szCs w:val="28"/>
                <w:highlight w:val="none"/>
                <w:lang w:eastAsia="zh-CN"/>
              </w:rPr>
              <w:t>（</w:t>
            </w:r>
            <w:r>
              <w:rPr>
                <w:rFonts w:hint="eastAsia" w:ascii="宋体" w:hAnsi="宋体" w:eastAsia="宋体" w:cs="宋体"/>
                <w:b/>
                <w:color w:val="auto"/>
                <w:kern w:val="2"/>
                <w:sz w:val="28"/>
                <w:szCs w:val="28"/>
                <w:highlight w:val="none"/>
                <w:lang w:val="en-US" w:eastAsia="zh-CN"/>
              </w:rPr>
              <w:t>10分</w:t>
            </w:r>
            <w:r>
              <w:rPr>
                <w:rFonts w:hint="eastAsia" w:ascii="宋体" w:hAnsi="宋体" w:eastAsia="宋体" w:cs="宋体"/>
                <w:b/>
                <w:color w:val="auto"/>
                <w:kern w:val="2"/>
                <w:sz w:val="28"/>
                <w:szCs w:val="28"/>
                <w:highlight w:val="none"/>
                <w:lang w:eastAsia="zh-CN"/>
              </w:rPr>
              <w:t>）</w:t>
            </w:r>
          </w:p>
        </w:tc>
        <w:tc>
          <w:tcPr>
            <w:tcW w:w="2193" w:type="pct"/>
            <w:noWrap w:val="0"/>
            <w:vAlign w:val="center"/>
          </w:tcPr>
          <w:p w14:paraId="663655BF">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lang w:val="en-US" w:eastAsia="zh-CN"/>
              </w:rPr>
            </w:pPr>
            <w:r>
              <w:rPr>
                <w:rFonts w:hint="eastAsia" w:ascii="宋体" w:hAnsi="宋体" w:eastAsia="宋体" w:cs="宋体"/>
                <w:b w:val="0"/>
                <w:bCs w:val="0"/>
                <w:color w:val="auto"/>
                <w:kern w:val="2"/>
                <w:sz w:val="28"/>
                <w:szCs w:val="28"/>
                <w:highlight w:val="none"/>
              </w:rPr>
              <w:t>出勤准时，不迟到、早退及不旷工</w:t>
            </w:r>
            <w:r>
              <w:rPr>
                <w:rFonts w:hint="eastAsia" w:ascii="宋体" w:hAnsi="宋体" w:eastAsia="宋体" w:cs="宋体"/>
                <w:b w:val="0"/>
                <w:bCs w:val="0"/>
                <w:color w:val="auto"/>
                <w:kern w:val="2"/>
                <w:sz w:val="28"/>
                <w:szCs w:val="28"/>
                <w:highlight w:val="none"/>
                <w:lang w:eastAsia="zh-CN"/>
              </w:rPr>
              <w:t>。</w:t>
            </w:r>
            <w:r>
              <w:rPr>
                <w:rFonts w:hint="eastAsia" w:ascii="宋体" w:hAnsi="宋体" w:eastAsia="宋体" w:cs="宋体"/>
                <w:b w:val="0"/>
                <w:bCs w:val="0"/>
                <w:color w:val="auto"/>
                <w:kern w:val="2"/>
                <w:sz w:val="28"/>
                <w:szCs w:val="28"/>
                <w:highlight w:val="none"/>
                <w:lang w:val="en-US" w:eastAsia="zh-CN"/>
              </w:rPr>
              <w:t>每天点位上点名打卡拍照上传管理群。</w:t>
            </w:r>
          </w:p>
        </w:tc>
        <w:tc>
          <w:tcPr>
            <w:tcW w:w="2286" w:type="pct"/>
            <w:noWrap w:val="0"/>
            <w:vAlign w:val="center"/>
          </w:tcPr>
          <w:p w14:paraId="605EA368">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迟到、早退每出现1人扣30元，每缺1人扣80元。（此项累积计算，在当月服务费中直接扣减。）</w:t>
            </w:r>
          </w:p>
        </w:tc>
      </w:tr>
      <w:tr w14:paraId="45638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519" w:type="pct"/>
            <w:vMerge w:val="continue"/>
            <w:noWrap w:val="0"/>
            <w:vAlign w:val="center"/>
          </w:tcPr>
          <w:p w14:paraId="1C33E08E">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color w:val="auto"/>
                <w:kern w:val="2"/>
                <w:sz w:val="28"/>
                <w:szCs w:val="28"/>
                <w:highlight w:val="none"/>
              </w:rPr>
            </w:pPr>
          </w:p>
        </w:tc>
        <w:tc>
          <w:tcPr>
            <w:tcW w:w="2193" w:type="pct"/>
            <w:noWrap w:val="0"/>
            <w:vAlign w:val="center"/>
          </w:tcPr>
          <w:p w14:paraId="585DD981">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lang w:val="en-US" w:eastAsia="zh-CN"/>
              </w:rPr>
              <w:t>妥善处理</w:t>
            </w:r>
            <w:r>
              <w:rPr>
                <w:rFonts w:hint="eastAsia" w:ascii="宋体" w:hAnsi="宋体" w:eastAsia="宋体" w:cs="宋体"/>
                <w:color w:val="auto"/>
                <w:kern w:val="2"/>
                <w:sz w:val="28"/>
                <w:szCs w:val="28"/>
                <w:highlight w:val="none"/>
              </w:rPr>
              <w:t>曝光投诉（市民举报投诉、12345投诉、市长信箱等）</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1.5分</w:t>
            </w:r>
            <w:r>
              <w:rPr>
                <w:rFonts w:hint="eastAsia" w:ascii="宋体" w:hAnsi="宋体" w:eastAsia="宋体" w:cs="宋体"/>
                <w:color w:val="auto"/>
                <w:kern w:val="2"/>
                <w:sz w:val="28"/>
                <w:szCs w:val="28"/>
                <w:highlight w:val="none"/>
                <w:lang w:eastAsia="zh-CN"/>
              </w:rPr>
              <w:t>）</w:t>
            </w:r>
          </w:p>
        </w:tc>
        <w:tc>
          <w:tcPr>
            <w:tcW w:w="2286" w:type="pct"/>
            <w:noWrap w:val="0"/>
            <w:vAlign w:val="center"/>
          </w:tcPr>
          <w:p w14:paraId="7FBB54EB">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有一次</w:t>
            </w:r>
            <w:r>
              <w:rPr>
                <w:rFonts w:hint="eastAsia" w:ascii="宋体" w:hAnsi="宋体" w:eastAsia="宋体" w:cs="宋体"/>
                <w:color w:val="auto"/>
                <w:kern w:val="2"/>
                <w:sz w:val="28"/>
                <w:szCs w:val="28"/>
                <w:highlight w:val="none"/>
                <w:lang w:val="en-US" w:eastAsia="zh-CN"/>
              </w:rPr>
              <w:t>投诉</w:t>
            </w:r>
            <w:r>
              <w:rPr>
                <w:rFonts w:hint="eastAsia" w:ascii="宋体" w:hAnsi="宋体" w:eastAsia="宋体" w:cs="宋体"/>
                <w:color w:val="auto"/>
                <w:kern w:val="2"/>
                <w:sz w:val="28"/>
                <w:szCs w:val="28"/>
                <w:highlight w:val="none"/>
              </w:rPr>
              <w:t>扣</w:t>
            </w:r>
            <w:r>
              <w:rPr>
                <w:rFonts w:hint="eastAsia" w:ascii="宋体" w:hAnsi="宋体" w:eastAsia="宋体" w:cs="宋体"/>
                <w:color w:val="auto"/>
                <w:kern w:val="2"/>
                <w:sz w:val="28"/>
                <w:szCs w:val="28"/>
                <w:highlight w:val="none"/>
                <w:lang w:val="en-US" w:eastAsia="zh-CN"/>
              </w:rPr>
              <w:t>0.5</w:t>
            </w:r>
            <w:r>
              <w:rPr>
                <w:rFonts w:hint="eastAsia" w:ascii="宋体" w:hAnsi="宋体" w:eastAsia="宋体" w:cs="宋体"/>
                <w:color w:val="auto"/>
                <w:kern w:val="2"/>
                <w:sz w:val="28"/>
                <w:szCs w:val="28"/>
                <w:highlight w:val="none"/>
              </w:rPr>
              <w:t>分</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未妥善处理扣1.5分</w:t>
            </w:r>
            <w:r>
              <w:rPr>
                <w:rFonts w:hint="eastAsia" w:ascii="宋体" w:hAnsi="宋体" w:eastAsia="宋体" w:cs="宋体"/>
                <w:color w:val="auto"/>
                <w:kern w:val="2"/>
                <w:sz w:val="28"/>
                <w:szCs w:val="28"/>
                <w:highlight w:val="none"/>
              </w:rPr>
              <w:t>。</w:t>
            </w:r>
          </w:p>
        </w:tc>
      </w:tr>
      <w:tr w14:paraId="113B0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519" w:type="pct"/>
            <w:vMerge w:val="continue"/>
            <w:noWrap w:val="0"/>
            <w:vAlign w:val="center"/>
          </w:tcPr>
          <w:p w14:paraId="1EDF4421">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rPr>
            </w:pPr>
          </w:p>
        </w:tc>
        <w:tc>
          <w:tcPr>
            <w:tcW w:w="2193" w:type="pct"/>
            <w:noWrap w:val="0"/>
            <w:vAlign w:val="center"/>
          </w:tcPr>
          <w:p w14:paraId="2EABB5A0">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lang w:val="en-US" w:eastAsia="zh-CN"/>
              </w:rPr>
            </w:pPr>
            <w:r>
              <w:rPr>
                <w:rFonts w:hint="eastAsia" w:ascii="宋体" w:hAnsi="宋体" w:eastAsia="宋体" w:cs="宋体"/>
                <w:b w:val="0"/>
                <w:bCs w:val="0"/>
                <w:color w:val="auto"/>
                <w:kern w:val="2"/>
                <w:sz w:val="28"/>
                <w:szCs w:val="28"/>
                <w:highlight w:val="none"/>
                <w:lang w:val="en-US" w:eastAsia="zh-CN"/>
              </w:rPr>
              <w:t>服从度假区</w:t>
            </w:r>
            <w:r>
              <w:rPr>
                <w:rFonts w:hint="eastAsia" w:ascii="宋体" w:hAnsi="宋体" w:eastAsia="宋体" w:cs="宋体"/>
                <w:color w:val="auto"/>
                <w:kern w:val="2"/>
                <w:sz w:val="28"/>
                <w:szCs w:val="28"/>
                <w:highlight w:val="none"/>
                <w:lang w:val="en-US" w:eastAsia="zh-CN"/>
              </w:rPr>
              <w:t>现场管理人员管理，对提出的问题积极整改（1.5分）；所有车辆、机械按招标要求配备，车身印制度假区标识，符合环卫作业相关规范要求（2.5分）</w:t>
            </w:r>
          </w:p>
        </w:tc>
        <w:tc>
          <w:tcPr>
            <w:tcW w:w="2286" w:type="pct"/>
            <w:noWrap w:val="0"/>
            <w:vAlign w:val="center"/>
          </w:tcPr>
          <w:p w14:paraId="7DA1D098">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不服从管理扣1.5分，未在规定时间内保质保量完成整改的，1次扣0.5分；不符合招标要求的车辆发现1处扣0.5分</w:t>
            </w:r>
            <w:r>
              <w:rPr>
                <w:rFonts w:hint="eastAsia" w:ascii="宋体" w:hAnsi="宋体" w:eastAsia="宋体" w:cs="宋体"/>
                <w:color w:val="auto"/>
                <w:kern w:val="2"/>
                <w:sz w:val="28"/>
                <w:szCs w:val="28"/>
                <w:highlight w:val="none"/>
              </w:rPr>
              <w:t>。</w:t>
            </w:r>
          </w:p>
        </w:tc>
      </w:tr>
      <w:tr w14:paraId="0C87A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519" w:type="pct"/>
            <w:vMerge w:val="continue"/>
            <w:noWrap w:val="0"/>
            <w:vAlign w:val="center"/>
          </w:tcPr>
          <w:p w14:paraId="36AC502E">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rPr>
            </w:pPr>
          </w:p>
        </w:tc>
        <w:tc>
          <w:tcPr>
            <w:tcW w:w="2193" w:type="pct"/>
            <w:noWrap w:val="0"/>
            <w:vAlign w:val="center"/>
          </w:tcPr>
          <w:p w14:paraId="1E0FBDBA">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现场作业人员统一着装（必须具有反光条和度假区标识）（0.5分）</w:t>
            </w:r>
          </w:p>
        </w:tc>
        <w:tc>
          <w:tcPr>
            <w:tcW w:w="2286" w:type="pct"/>
            <w:noWrap w:val="0"/>
            <w:vAlign w:val="center"/>
          </w:tcPr>
          <w:p w14:paraId="09CA99E3">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发现1人未按规定着装扣0.1分。</w:t>
            </w:r>
          </w:p>
        </w:tc>
      </w:tr>
      <w:tr w14:paraId="5C182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519" w:type="pct"/>
            <w:vMerge w:val="continue"/>
            <w:noWrap w:val="0"/>
            <w:vAlign w:val="center"/>
          </w:tcPr>
          <w:p w14:paraId="07CBB58A">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rPr>
            </w:pPr>
          </w:p>
        </w:tc>
        <w:tc>
          <w:tcPr>
            <w:tcW w:w="2193" w:type="pct"/>
            <w:noWrap w:val="0"/>
            <w:vAlign w:val="center"/>
          </w:tcPr>
          <w:p w14:paraId="12089E9E">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保洁人员不得坐岗、串岗、扎堆闲聊以及其他与工作无关的事（1分）</w:t>
            </w:r>
          </w:p>
        </w:tc>
        <w:tc>
          <w:tcPr>
            <w:tcW w:w="2286" w:type="pct"/>
            <w:noWrap w:val="0"/>
            <w:vAlign w:val="top"/>
          </w:tcPr>
          <w:p w14:paraId="5BAE6E8D">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发现1起扣0.2分</w:t>
            </w:r>
          </w:p>
        </w:tc>
      </w:tr>
      <w:tr w14:paraId="3BC22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519" w:type="pct"/>
            <w:vMerge w:val="continue"/>
            <w:noWrap w:val="0"/>
            <w:vAlign w:val="center"/>
          </w:tcPr>
          <w:p w14:paraId="75FD3C78">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rPr>
            </w:pPr>
          </w:p>
        </w:tc>
        <w:tc>
          <w:tcPr>
            <w:tcW w:w="2193" w:type="pct"/>
            <w:noWrap w:val="0"/>
            <w:vAlign w:val="center"/>
          </w:tcPr>
          <w:p w14:paraId="1DAE8C31">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lang w:val="en-US"/>
              </w:rPr>
            </w:pPr>
            <w:r>
              <w:rPr>
                <w:rFonts w:hint="eastAsia" w:ascii="宋体" w:hAnsi="宋体" w:eastAsia="宋体" w:cs="宋体"/>
                <w:color w:val="auto"/>
                <w:kern w:val="2"/>
                <w:sz w:val="28"/>
                <w:szCs w:val="28"/>
                <w:highlight w:val="none"/>
                <w:lang w:val="en-US" w:eastAsia="zh-CN"/>
              </w:rPr>
              <w:t>服务范围发现</w:t>
            </w:r>
            <w:r>
              <w:rPr>
                <w:rFonts w:hint="eastAsia" w:ascii="宋体" w:hAnsi="宋体" w:eastAsia="宋体" w:cs="宋体"/>
                <w:color w:val="auto"/>
                <w:kern w:val="2"/>
                <w:sz w:val="28"/>
                <w:szCs w:val="28"/>
                <w:highlight w:val="none"/>
              </w:rPr>
              <w:t>私自开挖</w:t>
            </w:r>
            <w:r>
              <w:rPr>
                <w:rFonts w:hint="eastAsia" w:ascii="宋体" w:hAnsi="宋体" w:eastAsia="宋体" w:cs="宋体"/>
                <w:color w:val="auto"/>
                <w:kern w:val="2"/>
                <w:sz w:val="28"/>
                <w:szCs w:val="28"/>
                <w:highlight w:val="none"/>
                <w:lang w:val="en-US" w:eastAsia="zh-CN"/>
              </w:rPr>
              <w:t>占用</w:t>
            </w:r>
            <w:r>
              <w:rPr>
                <w:rFonts w:hint="eastAsia" w:ascii="宋体" w:hAnsi="宋体" w:eastAsia="宋体" w:cs="宋体"/>
                <w:color w:val="auto"/>
                <w:kern w:val="2"/>
                <w:sz w:val="28"/>
                <w:szCs w:val="28"/>
                <w:highlight w:val="none"/>
              </w:rPr>
              <w:t>施工等行为</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管养单位人员发现并上报综合执法大队（1.5分）</w:t>
            </w:r>
          </w:p>
        </w:tc>
        <w:tc>
          <w:tcPr>
            <w:tcW w:w="2286" w:type="pct"/>
            <w:noWrap w:val="0"/>
            <w:vAlign w:val="top"/>
          </w:tcPr>
          <w:p w14:paraId="0D7EB875">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color w:val="auto"/>
                <w:kern w:val="2"/>
                <w:sz w:val="28"/>
                <w:szCs w:val="28"/>
                <w:highlight w:val="none"/>
                <w:lang w:val="en-US"/>
              </w:rPr>
            </w:pPr>
            <w:r>
              <w:rPr>
                <w:rFonts w:hint="eastAsia" w:ascii="宋体" w:hAnsi="宋体" w:eastAsia="宋体" w:cs="宋体"/>
                <w:color w:val="auto"/>
                <w:kern w:val="2"/>
                <w:sz w:val="28"/>
                <w:szCs w:val="28"/>
                <w:highlight w:val="none"/>
                <w:lang w:val="en-US" w:eastAsia="zh-CN"/>
              </w:rPr>
              <w:t>未发现，1次扣0.5分</w:t>
            </w:r>
          </w:p>
        </w:tc>
      </w:tr>
      <w:tr w14:paraId="70A21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519" w:type="pct"/>
            <w:vMerge w:val="continue"/>
            <w:noWrap w:val="0"/>
            <w:vAlign w:val="center"/>
          </w:tcPr>
          <w:p w14:paraId="7A2E571E">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rPr>
            </w:pPr>
          </w:p>
        </w:tc>
        <w:tc>
          <w:tcPr>
            <w:tcW w:w="2193" w:type="pct"/>
            <w:noWrap w:val="0"/>
            <w:vAlign w:val="center"/>
          </w:tcPr>
          <w:p w14:paraId="3E462A13">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rPr>
              <w:t>如遇活动</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rPr>
              <w:t>保障任务</w:t>
            </w:r>
            <w:r>
              <w:rPr>
                <w:rFonts w:hint="eastAsia" w:ascii="宋体" w:hAnsi="宋体" w:eastAsia="宋体" w:cs="宋体"/>
                <w:color w:val="auto"/>
                <w:kern w:val="2"/>
                <w:sz w:val="28"/>
                <w:szCs w:val="28"/>
                <w:highlight w:val="none"/>
                <w:lang w:val="en-US" w:eastAsia="zh-CN"/>
              </w:rPr>
              <w:t>以及甲方安排的其他任务</w:t>
            </w:r>
            <w:r>
              <w:rPr>
                <w:rFonts w:hint="eastAsia" w:ascii="宋体" w:hAnsi="宋体" w:eastAsia="宋体" w:cs="宋体"/>
                <w:color w:val="auto"/>
                <w:kern w:val="2"/>
                <w:sz w:val="28"/>
                <w:szCs w:val="28"/>
                <w:highlight w:val="none"/>
              </w:rPr>
              <w:t>时，</w:t>
            </w:r>
            <w:r>
              <w:rPr>
                <w:rFonts w:hint="eastAsia" w:ascii="宋体" w:hAnsi="宋体" w:eastAsia="宋体" w:cs="宋体"/>
                <w:color w:val="auto"/>
                <w:kern w:val="2"/>
                <w:sz w:val="28"/>
                <w:szCs w:val="28"/>
                <w:highlight w:val="none"/>
                <w:lang w:val="en-US" w:eastAsia="zh-CN"/>
              </w:rPr>
              <w:t>保质保量完成</w:t>
            </w:r>
            <w:r>
              <w:rPr>
                <w:rFonts w:hint="eastAsia" w:ascii="宋体" w:hAnsi="宋体" w:eastAsia="宋体" w:cs="宋体"/>
                <w:color w:val="auto"/>
                <w:kern w:val="2"/>
                <w:sz w:val="28"/>
                <w:szCs w:val="28"/>
                <w:highlight w:val="none"/>
              </w:rPr>
              <w:t>。</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1.5分</w:t>
            </w:r>
            <w:r>
              <w:rPr>
                <w:rFonts w:hint="eastAsia" w:ascii="宋体" w:hAnsi="宋体" w:eastAsia="宋体" w:cs="宋体"/>
                <w:color w:val="auto"/>
                <w:kern w:val="2"/>
                <w:sz w:val="28"/>
                <w:szCs w:val="28"/>
                <w:highlight w:val="none"/>
                <w:lang w:eastAsia="zh-CN"/>
              </w:rPr>
              <w:t>）</w:t>
            </w:r>
          </w:p>
        </w:tc>
        <w:tc>
          <w:tcPr>
            <w:tcW w:w="2286" w:type="pct"/>
            <w:noWrap w:val="0"/>
            <w:vAlign w:val="center"/>
          </w:tcPr>
          <w:p w14:paraId="65909DBC">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未积极完成酌情扣分</w:t>
            </w:r>
            <w:r>
              <w:rPr>
                <w:rFonts w:hint="eastAsia" w:ascii="宋体" w:hAnsi="宋体" w:eastAsia="宋体" w:cs="宋体"/>
                <w:color w:val="auto"/>
                <w:kern w:val="2"/>
                <w:sz w:val="28"/>
                <w:szCs w:val="28"/>
                <w:highlight w:val="none"/>
              </w:rPr>
              <w:t>。</w:t>
            </w:r>
          </w:p>
        </w:tc>
      </w:tr>
    </w:tbl>
    <w:p w14:paraId="4C8E6B1F">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rPr>
      </w:pPr>
    </w:p>
    <w:p w14:paraId="5DEE0122">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val="0"/>
          <w:bCs w:val="0"/>
          <w:color w:val="auto"/>
          <w:kern w:val="2"/>
          <w:sz w:val="28"/>
          <w:szCs w:val="28"/>
          <w:highlight w:val="none"/>
          <w:lang w:val="en-US" w:eastAsia="zh-CN"/>
        </w:rPr>
      </w:pPr>
      <w:r>
        <w:rPr>
          <w:rFonts w:hint="eastAsia" w:ascii="宋体" w:hAnsi="宋体" w:eastAsia="宋体" w:cs="宋体"/>
          <w:b w:val="0"/>
          <w:bCs w:val="0"/>
          <w:color w:val="auto"/>
          <w:kern w:val="2"/>
          <w:sz w:val="28"/>
          <w:szCs w:val="28"/>
          <w:highlight w:val="none"/>
          <w:lang w:val="en-US" w:eastAsia="zh-CN"/>
        </w:rPr>
        <w:t>2、绿化（共50分）</w:t>
      </w:r>
    </w:p>
    <w:tbl>
      <w:tblPr>
        <w:tblStyle w:val="29"/>
        <w:tblW w:w="520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96"/>
        <w:gridCol w:w="1257"/>
        <w:gridCol w:w="5921"/>
        <w:gridCol w:w="776"/>
        <w:gridCol w:w="779"/>
      </w:tblGrid>
      <w:tr w14:paraId="0FC000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tcBorders>
              <w:top w:val="single" w:color="000000" w:sz="4" w:space="0"/>
              <w:left w:val="single" w:color="000000" w:sz="4" w:space="0"/>
              <w:bottom w:val="single" w:color="000000" w:sz="4" w:space="0"/>
              <w:right w:val="single" w:color="000000" w:sz="4" w:space="0"/>
            </w:tcBorders>
            <w:noWrap w:val="0"/>
            <w:vAlign w:val="center"/>
          </w:tcPr>
          <w:p w14:paraId="56C7DF3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auto"/>
                <w:kern w:val="2"/>
                <w:sz w:val="28"/>
                <w:szCs w:val="28"/>
                <w:highlight w:val="none"/>
                <w:u w:val="none"/>
              </w:rPr>
            </w:pPr>
            <w:r>
              <w:rPr>
                <w:rFonts w:hint="eastAsia" w:ascii="宋体" w:hAnsi="宋体" w:eastAsia="宋体" w:cs="宋体"/>
                <w:b/>
                <w:bCs/>
                <w:i w:val="0"/>
                <w:iCs w:val="0"/>
                <w:color w:val="auto"/>
                <w:kern w:val="0"/>
                <w:sz w:val="28"/>
                <w:szCs w:val="28"/>
                <w:highlight w:val="none"/>
                <w:u w:val="none"/>
                <w:lang w:val="en-US" w:eastAsia="zh-CN" w:bidi="ar"/>
              </w:rPr>
              <w:t>序号</w:t>
            </w:r>
          </w:p>
        </w:tc>
        <w:tc>
          <w:tcPr>
            <w:tcW w:w="677" w:type="pct"/>
            <w:tcBorders>
              <w:top w:val="single" w:color="000000" w:sz="4" w:space="0"/>
              <w:left w:val="single" w:color="000000" w:sz="4" w:space="0"/>
              <w:bottom w:val="single" w:color="000000" w:sz="4" w:space="0"/>
              <w:right w:val="single" w:color="000000" w:sz="4" w:space="0"/>
            </w:tcBorders>
            <w:noWrap w:val="0"/>
            <w:vAlign w:val="center"/>
          </w:tcPr>
          <w:p w14:paraId="713E4CF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auto"/>
                <w:kern w:val="2"/>
                <w:sz w:val="28"/>
                <w:szCs w:val="28"/>
                <w:highlight w:val="none"/>
                <w:u w:val="none"/>
              </w:rPr>
            </w:pPr>
            <w:r>
              <w:rPr>
                <w:rFonts w:hint="eastAsia" w:ascii="宋体" w:hAnsi="宋体" w:eastAsia="宋体" w:cs="宋体"/>
                <w:b/>
                <w:bCs/>
                <w:i w:val="0"/>
                <w:iCs w:val="0"/>
                <w:color w:val="auto"/>
                <w:kern w:val="0"/>
                <w:sz w:val="28"/>
                <w:szCs w:val="28"/>
                <w:highlight w:val="none"/>
                <w:u w:val="none"/>
                <w:lang w:val="en-US" w:eastAsia="zh-CN" w:bidi="ar"/>
              </w:rPr>
              <w:t>项目</w:t>
            </w: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6BB47F3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auto"/>
                <w:kern w:val="2"/>
                <w:sz w:val="28"/>
                <w:szCs w:val="28"/>
                <w:highlight w:val="none"/>
                <w:u w:val="none"/>
              </w:rPr>
            </w:pPr>
            <w:r>
              <w:rPr>
                <w:rFonts w:hint="eastAsia" w:ascii="宋体" w:hAnsi="宋体" w:eastAsia="宋体" w:cs="宋体"/>
                <w:b/>
                <w:bCs/>
                <w:i w:val="0"/>
                <w:iCs w:val="0"/>
                <w:color w:val="auto"/>
                <w:kern w:val="0"/>
                <w:sz w:val="28"/>
                <w:szCs w:val="28"/>
                <w:highlight w:val="none"/>
                <w:u w:val="none"/>
                <w:lang w:val="en-US" w:eastAsia="zh-CN" w:bidi="ar"/>
              </w:rPr>
              <w:t>考核内容</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2630D11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auto"/>
                <w:kern w:val="2"/>
                <w:sz w:val="28"/>
                <w:szCs w:val="28"/>
                <w:highlight w:val="none"/>
                <w:u w:val="none"/>
              </w:rPr>
            </w:pPr>
            <w:r>
              <w:rPr>
                <w:rFonts w:hint="eastAsia" w:ascii="宋体" w:hAnsi="宋体" w:eastAsia="宋体" w:cs="宋体"/>
                <w:b/>
                <w:bCs/>
                <w:i w:val="0"/>
                <w:iCs w:val="0"/>
                <w:color w:val="auto"/>
                <w:kern w:val="0"/>
                <w:sz w:val="28"/>
                <w:szCs w:val="28"/>
                <w:highlight w:val="none"/>
                <w:u w:val="none"/>
                <w:lang w:val="en-US" w:eastAsia="zh-CN" w:bidi="ar"/>
              </w:rPr>
              <w:t>分值</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16C3D69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auto"/>
                <w:kern w:val="2"/>
                <w:sz w:val="28"/>
                <w:szCs w:val="28"/>
                <w:highlight w:val="none"/>
                <w:u w:val="none"/>
              </w:rPr>
            </w:pPr>
            <w:r>
              <w:rPr>
                <w:rFonts w:hint="eastAsia" w:ascii="宋体" w:hAnsi="宋体" w:eastAsia="宋体" w:cs="宋体"/>
                <w:b/>
                <w:bCs/>
                <w:i w:val="0"/>
                <w:iCs w:val="0"/>
                <w:color w:val="auto"/>
                <w:kern w:val="0"/>
                <w:sz w:val="28"/>
                <w:szCs w:val="28"/>
                <w:highlight w:val="none"/>
                <w:u w:val="none"/>
                <w:lang w:val="en-US" w:eastAsia="zh-CN" w:bidi="ar"/>
              </w:rPr>
              <w:t>得分</w:t>
            </w:r>
          </w:p>
        </w:tc>
      </w:tr>
      <w:tr w14:paraId="033A16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restart"/>
            <w:tcBorders>
              <w:top w:val="single" w:color="000000" w:sz="4" w:space="0"/>
              <w:left w:val="single" w:color="000000" w:sz="4" w:space="0"/>
              <w:bottom w:val="single" w:color="000000" w:sz="4" w:space="0"/>
              <w:right w:val="single" w:color="000000" w:sz="4" w:space="0"/>
            </w:tcBorders>
            <w:noWrap w:val="0"/>
            <w:vAlign w:val="center"/>
          </w:tcPr>
          <w:p w14:paraId="0D99E1E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677" w:type="pct"/>
            <w:vMerge w:val="restart"/>
            <w:tcBorders>
              <w:top w:val="single" w:color="000000" w:sz="4" w:space="0"/>
              <w:left w:val="single" w:color="000000" w:sz="4" w:space="0"/>
              <w:bottom w:val="single" w:color="000000" w:sz="4" w:space="0"/>
              <w:right w:val="single" w:color="000000" w:sz="4" w:space="0"/>
            </w:tcBorders>
            <w:noWrap w:val="0"/>
            <w:vAlign w:val="center"/>
          </w:tcPr>
          <w:p w14:paraId="5B9F58B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绿化管理制度及人员配置（6.5分）</w:t>
            </w: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0E6CBAC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1、及时上报绿化养护全年及月（日）工作计划，当月（日）完成情况。</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56849F4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5D83B64E">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75201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3C4F9682">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78D85124">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5393EBC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2、及时发工作照片至管理群（每日至少上午下午各一次。</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636112F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6F5C1773">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3797F1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6B136337">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75DFCFE0">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19BC852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3、建立健全绿化养护工作台账（打药、施肥、浇水等）。</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188A69B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lang w:val="en-US"/>
              </w:rPr>
            </w:pPr>
            <w:r>
              <w:rPr>
                <w:rFonts w:hint="eastAsia" w:ascii="宋体" w:hAnsi="宋体" w:eastAsia="宋体" w:cs="宋体"/>
                <w:i w:val="0"/>
                <w:iCs w:val="0"/>
                <w:color w:val="auto"/>
                <w:kern w:val="0"/>
                <w:sz w:val="28"/>
                <w:szCs w:val="28"/>
                <w:highlight w:val="none"/>
                <w:u w:val="none"/>
                <w:lang w:val="en-US" w:eastAsia="zh-CN" w:bidi="ar"/>
              </w:rPr>
              <w:t>0.5</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255AADC9">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61B3D8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553A45EB">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61B6EE34">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54D7DEE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4、草花更换、公园改造更新项目是否按程序申报。</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2CC4744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lang w:val="en-US"/>
              </w:rPr>
            </w:pPr>
            <w:r>
              <w:rPr>
                <w:rFonts w:hint="eastAsia" w:ascii="宋体" w:hAnsi="宋体" w:eastAsia="宋体" w:cs="宋体"/>
                <w:i w:val="0"/>
                <w:iCs w:val="0"/>
                <w:color w:val="auto"/>
                <w:kern w:val="0"/>
                <w:sz w:val="28"/>
                <w:szCs w:val="28"/>
                <w:highlight w:val="none"/>
                <w:u w:val="none"/>
                <w:lang w:val="en-US" w:eastAsia="zh-CN" w:bidi="ar"/>
              </w:rPr>
              <w:t>0.5</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4BD35F95">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0164AB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17C09243">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0C015965">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0B933DE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color w:val="auto"/>
                <w:kern w:val="2"/>
                <w:sz w:val="28"/>
                <w:szCs w:val="28"/>
                <w:highlight w:val="none"/>
                <w:u w:val="none"/>
                <w:lang w:val="en-US" w:eastAsia="zh-CN" w:bidi="ar"/>
              </w:rPr>
              <w:t>5、绿化人数配备不足或虚报人数的，每次扣1分。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136799C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3</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46E7A9CF">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68BD1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7A8C601D">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323CF5CF">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437E26C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color w:val="auto"/>
                <w:kern w:val="2"/>
                <w:sz w:val="28"/>
                <w:szCs w:val="28"/>
                <w:highlight w:val="none"/>
                <w:u w:val="none"/>
                <w:lang w:val="en-US" w:eastAsia="zh-CN" w:bidi="ar"/>
              </w:rPr>
              <w:t>6、配合各项检查及专项整治任务工作以及台账资料整理汇报。</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7F4FACD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lang w:val="en-US"/>
              </w:rPr>
            </w:pPr>
            <w:r>
              <w:rPr>
                <w:rFonts w:hint="eastAsia" w:ascii="宋体" w:hAnsi="宋体" w:eastAsia="宋体" w:cs="宋体"/>
                <w:i w:val="0"/>
                <w:iCs w:val="0"/>
                <w:color w:val="auto"/>
                <w:kern w:val="0"/>
                <w:sz w:val="28"/>
                <w:szCs w:val="28"/>
                <w:highlight w:val="none"/>
                <w:u w:val="none"/>
                <w:lang w:val="en-US" w:eastAsia="zh-CN" w:bidi="ar"/>
              </w:rPr>
              <w:t>0.5</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407749E1">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4F30C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restart"/>
            <w:tcBorders>
              <w:top w:val="single" w:color="000000" w:sz="4" w:space="0"/>
              <w:left w:val="single" w:color="000000" w:sz="4" w:space="0"/>
              <w:bottom w:val="single" w:color="000000" w:sz="4" w:space="0"/>
              <w:right w:val="single" w:color="000000" w:sz="4" w:space="0"/>
            </w:tcBorders>
            <w:noWrap w:val="0"/>
            <w:vAlign w:val="center"/>
          </w:tcPr>
          <w:p w14:paraId="16A1683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w:t>
            </w:r>
          </w:p>
        </w:tc>
        <w:tc>
          <w:tcPr>
            <w:tcW w:w="677" w:type="pct"/>
            <w:vMerge w:val="restart"/>
            <w:tcBorders>
              <w:top w:val="single" w:color="000000" w:sz="4" w:space="0"/>
              <w:left w:val="single" w:color="000000" w:sz="4" w:space="0"/>
              <w:bottom w:val="single" w:color="000000" w:sz="4" w:space="0"/>
              <w:right w:val="single" w:color="000000" w:sz="4" w:space="0"/>
            </w:tcBorders>
            <w:noWrap w:val="0"/>
            <w:vAlign w:val="center"/>
          </w:tcPr>
          <w:p w14:paraId="1828F29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乔木（常绿、落叶）（7分）</w:t>
            </w: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1A59FFF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color w:val="auto"/>
                <w:kern w:val="2"/>
                <w:sz w:val="28"/>
                <w:szCs w:val="28"/>
                <w:highlight w:val="none"/>
                <w:u w:val="none"/>
                <w:lang w:val="en-US" w:eastAsia="zh-CN" w:bidi="ar"/>
              </w:rPr>
              <w:t>1、生长旺盛，树冠完整，主侧枝分布均匀，内膛通风透光。乔木冠型完整，修剪合理；基部除萌及时；树穴完整，无杂草杂树苗，无堆放物。</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582EA12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0E8AD33F">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7D53E6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14B2E7AD">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05215E19">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565C1F3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2、叶色正常，无卷叶、黄叶，及时防治病虫害。病虫害防治不及时，造成蔓延，严重影响景观，每发现一处扣0.5分。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51CCB1B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611F6440">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12B809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585AE0B8">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138E3C7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13889DA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3、枝干生长正常，无枯死枝，无蛀干害虫，无缠绕、钉挂物。每发现一处扣0.5分。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79844D9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lang w:val="en-US"/>
              </w:rPr>
            </w:pPr>
            <w:r>
              <w:rPr>
                <w:rFonts w:hint="eastAsia" w:ascii="宋体" w:hAnsi="宋体" w:eastAsia="宋体" w:cs="宋体"/>
                <w:i w:val="0"/>
                <w:iCs w:val="0"/>
                <w:color w:val="auto"/>
                <w:kern w:val="0"/>
                <w:sz w:val="28"/>
                <w:szCs w:val="28"/>
                <w:highlight w:val="none"/>
                <w:u w:val="none"/>
                <w:lang w:val="en-US" w:eastAsia="zh-CN" w:bidi="ar"/>
              </w:rPr>
              <w:t>1.5</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099161CC">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5E45C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5981C52F">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146C365F">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4405211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color w:val="auto"/>
                <w:kern w:val="2"/>
                <w:sz w:val="28"/>
                <w:szCs w:val="28"/>
                <w:highlight w:val="none"/>
                <w:u w:val="none"/>
                <w:lang w:val="en-US" w:eastAsia="zh-CN" w:bidi="ar"/>
              </w:rPr>
              <w:t>4、树木保存率98%，古树名木保存率100%。树木死亡时清理及时，树根处理规范。每发现一处死树扣0.5分。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5844868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lang w:val="en-US"/>
              </w:rPr>
            </w:pPr>
            <w:r>
              <w:rPr>
                <w:rFonts w:hint="eastAsia" w:ascii="宋体" w:hAnsi="宋体" w:eastAsia="宋体" w:cs="宋体"/>
                <w:i w:val="0"/>
                <w:iCs w:val="0"/>
                <w:color w:val="auto"/>
                <w:kern w:val="0"/>
                <w:sz w:val="28"/>
                <w:szCs w:val="28"/>
                <w:highlight w:val="none"/>
                <w:u w:val="none"/>
                <w:lang w:val="en-US" w:eastAsia="zh-CN" w:bidi="ar"/>
              </w:rPr>
              <w:t>1.5</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0255F20A">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04B930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restart"/>
            <w:tcBorders>
              <w:top w:val="single" w:color="000000" w:sz="4" w:space="0"/>
              <w:left w:val="single" w:color="000000" w:sz="4" w:space="0"/>
              <w:bottom w:val="single" w:color="000000" w:sz="4" w:space="0"/>
              <w:right w:val="single" w:color="000000" w:sz="4" w:space="0"/>
            </w:tcBorders>
            <w:noWrap w:val="0"/>
            <w:vAlign w:val="center"/>
          </w:tcPr>
          <w:p w14:paraId="59AEAAA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3</w:t>
            </w:r>
          </w:p>
        </w:tc>
        <w:tc>
          <w:tcPr>
            <w:tcW w:w="677" w:type="pct"/>
            <w:vMerge w:val="restart"/>
            <w:tcBorders>
              <w:top w:val="single" w:color="000000" w:sz="4" w:space="0"/>
              <w:left w:val="single" w:color="000000" w:sz="4" w:space="0"/>
              <w:bottom w:val="single" w:color="000000" w:sz="4" w:space="0"/>
              <w:right w:val="single" w:color="000000" w:sz="4" w:space="0"/>
            </w:tcBorders>
            <w:noWrap w:val="0"/>
            <w:vAlign w:val="center"/>
          </w:tcPr>
          <w:p w14:paraId="73CD939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灌木（球类、绿篱）（8.5分）</w:t>
            </w: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1050738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1、生长旺盛，枝条密实均匀，无明显枯枝、断枝。每发现一处扣0.5分。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03E7139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272197CD">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56EDB4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255737A5">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133A2B2A">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64E914E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2、保持修剪，球类成型，完整无缺；绿篱平整无缺，无脱脚。整形树必须保证一定形态，修剪及时，每发现一处扣0.5分。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3C38934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5EBD7576">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1B2267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1C23D167">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02640489">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354904E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3、叶色正常，无卷叶、黄叶，及时防治病虫害。病虫害防治不及时，造成蔓延，严重影响景观，每发现一处扣0.5分。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176F432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0D7ACE94">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63DAB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520DFA52">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13EA7C82">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2FFB137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4、植株成活率98%以上，若成片死亡要及时补充。</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7B17A34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lang w:val="en-US"/>
              </w:rPr>
            </w:pPr>
            <w:r>
              <w:rPr>
                <w:rFonts w:hint="eastAsia" w:ascii="宋体" w:hAnsi="宋体" w:eastAsia="宋体" w:cs="宋体"/>
                <w:i w:val="0"/>
                <w:iCs w:val="0"/>
                <w:color w:val="auto"/>
                <w:kern w:val="0"/>
                <w:sz w:val="28"/>
                <w:szCs w:val="28"/>
                <w:highlight w:val="none"/>
                <w:u w:val="none"/>
                <w:lang w:val="en-US" w:eastAsia="zh-CN" w:bidi="ar"/>
              </w:rPr>
              <w:t>1.5</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6DFA9ED5">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26FDF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428070F7">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4970046D">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31AC131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color w:val="auto"/>
                <w:kern w:val="2"/>
                <w:sz w:val="28"/>
                <w:szCs w:val="28"/>
                <w:highlight w:val="none"/>
                <w:u w:val="none"/>
                <w:lang w:val="en-US" w:eastAsia="zh-CN" w:bidi="ar"/>
              </w:rPr>
              <w:t>5、基本无垃圾物。杂草杂树、绿化死角、垃圾堆放死角、杂物堆放死角等，每发现一处扣0.5分。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6896222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228BF027">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3B33B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restart"/>
            <w:tcBorders>
              <w:top w:val="single" w:color="000000" w:sz="4" w:space="0"/>
              <w:left w:val="single" w:color="000000" w:sz="4" w:space="0"/>
              <w:bottom w:val="single" w:color="000000" w:sz="4" w:space="0"/>
              <w:right w:val="single" w:color="000000" w:sz="4" w:space="0"/>
            </w:tcBorders>
            <w:noWrap w:val="0"/>
            <w:vAlign w:val="center"/>
          </w:tcPr>
          <w:p w14:paraId="11D08BB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4</w:t>
            </w:r>
          </w:p>
        </w:tc>
        <w:tc>
          <w:tcPr>
            <w:tcW w:w="677" w:type="pct"/>
            <w:vMerge w:val="restart"/>
            <w:tcBorders>
              <w:top w:val="single" w:color="000000" w:sz="4" w:space="0"/>
              <w:left w:val="single" w:color="000000" w:sz="4" w:space="0"/>
              <w:bottom w:val="single" w:color="000000" w:sz="4" w:space="0"/>
              <w:right w:val="single" w:color="000000" w:sz="4" w:space="0"/>
            </w:tcBorders>
            <w:noWrap w:val="0"/>
            <w:vAlign w:val="center"/>
          </w:tcPr>
          <w:p w14:paraId="024BA0F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草坪（7.5分）</w:t>
            </w: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70F6B72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1、草坪（地被）整体景观优美整齐，长势良好，草根不裸露。</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4FA4872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lang w:val="en-US"/>
              </w:rPr>
            </w:pPr>
            <w:r>
              <w:rPr>
                <w:rFonts w:hint="eastAsia" w:ascii="宋体" w:hAnsi="宋体" w:eastAsia="宋体" w:cs="宋体"/>
                <w:i w:val="0"/>
                <w:iCs w:val="0"/>
                <w:color w:val="auto"/>
                <w:kern w:val="0"/>
                <w:sz w:val="28"/>
                <w:szCs w:val="28"/>
                <w:highlight w:val="none"/>
                <w:u w:val="none"/>
                <w:lang w:val="en-US" w:eastAsia="zh-CN" w:bidi="ar"/>
              </w:rPr>
              <w:t>1.5</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37E00FD6">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674082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420048EC">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524B5E76">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58B7434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2、草坪生长期内不枯黄，覆盖率95%以上，杂草不超过5株/平方米。景观草坪有明显杂草的，每发现1处扣0.5分；杂草严重影响草坪生长的，导致草坪整体大面积枯萎；每发现1处扣1分。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707457F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lang w:val="en-US"/>
              </w:rPr>
            </w:pPr>
            <w:r>
              <w:rPr>
                <w:rFonts w:hint="eastAsia" w:ascii="宋体" w:hAnsi="宋体" w:eastAsia="宋体" w:cs="宋体"/>
                <w:i w:val="0"/>
                <w:iCs w:val="0"/>
                <w:color w:val="auto"/>
                <w:kern w:val="0"/>
                <w:sz w:val="28"/>
                <w:szCs w:val="28"/>
                <w:highlight w:val="none"/>
                <w:u w:val="none"/>
                <w:lang w:val="en-US" w:eastAsia="zh-CN" w:bidi="ar"/>
              </w:rPr>
              <w:t>1.5</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3DC7BA00">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499423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1F108B99">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358D320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597F73C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3、推剪平整，漏剪率不超过5%，修剪杂物及时清运，草坪修剪是否及时合理。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3B8ED09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lang w:val="en-US"/>
              </w:rPr>
            </w:pPr>
            <w:r>
              <w:rPr>
                <w:rFonts w:hint="eastAsia" w:ascii="宋体" w:hAnsi="宋体" w:eastAsia="宋体" w:cs="宋体"/>
                <w:i w:val="0"/>
                <w:iCs w:val="0"/>
                <w:color w:val="auto"/>
                <w:kern w:val="0"/>
                <w:sz w:val="28"/>
                <w:szCs w:val="28"/>
                <w:highlight w:val="none"/>
                <w:u w:val="none"/>
                <w:lang w:val="en-US" w:eastAsia="zh-CN" w:bidi="ar"/>
              </w:rPr>
              <w:t>1.5</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4DB1C8C2">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50FB89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13A77AF7">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0E3A756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04799BB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4、草坪内无明显裸露地，无病虫害。草坪积水、空秃，黄土裸露，每发现1处扣0.5分。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543130C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lang w:val="en-US"/>
              </w:rPr>
            </w:pPr>
            <w:r>
              <w:rPr>
                <w:rFonts w:hint="eastAsia" w:ascii="宋体" w:hAnsi="宋体" w:eastAsia="宋体" w:cs="宋体"/>
                <w:i w:val="0"/>
                <w:iCs w:val="0"/>
                <w:color w:val="auto"/>
                <w:kern w:val="0"/>
                <w:sz w:val="28"/>
                <w:szCs w:val="28"/>
                <w:highlight w:val="none"/>
                <w:u w:val="none"/>
                <w:lang w:val="en-US" w:eastAsia="zh-CN" w:bidi="ar"/>
              </w:rPr>
              <w:t>1.5</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15B81F48">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7CF59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3517D6BC">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7206711B">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49D950D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5、草坪边缘线是否清晰（与路面、树坛、花坛交界处），未做切边处理的，发现1处扣0.5分。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0B5D125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lang w:val="en-US"/>
              </w:rPr>
            </w:pPr>
            <w:r>
              <w:rPr>
                <w:rFonts w:hint="eastAsia" w:ascii="宋体" w:hAnsi="宋体" w:eastAsia="宋体" w:cs="宋体"/>
                <w:i w:val="0"/>
                <w:iCs w:val="0"/>
                <w:color w:val="auto"/>
                <w:kern w:val="0"/>
                <w:sz w:val="28"/>
                <w:szCs w:val="28"/>
                <w:highlight w:val="none"/>
                <w:u w:val="none"/>
                <w:lang w:val="en-US" w:eastAsia="zh-CN" w:bidi="ar"/>
              </w:rPr>
              <w:t>1.5</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2C78780F">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010D2D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restart"/>
            <w:tcBorders>
              <w:top w:val="single" w:color="000000" w:sz="4" w:space="0"/>
              <w:left w:val="single" w:color="000000" w:sz="4" w:space="0"/>
              <w:bottom w:val="single" w:color="000000" w:sz="4" w:space="0"/>
              <w:right w:val="single" w:color="000000" w:sz="4" w:space="0"/>
            </w:tcBorders>
            <w:noWrap w:val="0"/>
            <w:vAlign w:val="center"/>
          </w:tcPr>
          <w:p w14:paraId="6E72348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5</w:t>
            </w:r>
          </w:p>
        </w:tc>
        <w:tc>
          <w:tcPr>
            <w:tcW w:w="677" w:type="pct"/>
            <w:vMerge w:val="restart"/>
            <w:tcBorders>
              <w:top w:val="single" w:color="000000" w:sz="4" w:space="0"/>
              <w:left w:val="single" w:color="000000" w:sz="4" w:space="0"/>
              <w:bottom w:val="single" w:color="000000" w:sz="4" w:space="0"/>
              <w:right w:val="single" w:color="000000" w:sz="4" w:space="0"/>
            </w:tcBorders>
            <w:noWrap w:val="0"/>
            <w:vAlign w:val="center"/>
          </w:tcPr>
          <w:p w14:paraId="001FB87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安全及文明施工（5.5分）</w:t>
            </w: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3F6EF3A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color w:val="auto"/>
                <w:kern w:val="2"/>
                <w:sz w:val="28"/>
                <w:szCs w:val="28"/>
                <w:highlight w:val="none"/>
                <w:u w:val="none"/>
                <w:lang w:val="en-US" w:eastAsia="zh-CN" w:bidi="ar"/>
              </w:rPr>
              <w:t>1、防风防汛防雪防火等。灾前积极预防，建立健全各项预案。对树木加固、修剪；灾后及时清除倒树断枝，疏通道路，清理、扶植。</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017738B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5C264118">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352B9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0E3D501C">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31F36680">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733F65F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2、机动车、员工车辆等在规定时间进出园区，车辆有序停放在指定地点，规范使用工程车、工程机械器等。</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2E7C043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lang w:val="en-US"/>
              </w:rPr>
            </w:pPr>
            <w:r>
              <w:rPr>
                <w:rFonts w:hint="eastAsia" w:ascii="宋体" w:hAnsi="宋体" w:eastAsia="宋体" w:cs="宋体"/>
                <w:i w:val="0"/>
                <w:iCs w:val="0"/>
                <w:color w:val="auto"/>
                <w:kern w:val="0"/>
                <w:sz w:val="28"/>
                <w:szCs w:val="28"/>
                <w:highlight w:val="none"/>
                <w:u w:val="none"/>
                <w:lang w:val="en-US" w:eastAsia="zh-CN" w:bidi="ar"/>
              </w:rPr>
              <w:t>0.5</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06EE9C27">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22069D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668AB72A">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7167EA73">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7CADCF1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color w:val="auto"/>
                <w:kern w:val="2"/>
                <w:sz w:val="28"/>
                <w:szCs w:val="28"/>
                <w:highlight w:val="none"/>
                <w:u w:val="none"/>
                <w:lang w:val="en-US" w:eastAsia="zh-CN" w:bidi="ar"/>
              </w:rPr>
              <w:t>3、绿化施工时，安全措施完善,施工警示、安全帽、口罩、安全绳等规范使用。</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3BBCEC4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12962C41">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34332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3F9D39D0">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69FDC15F">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1DCA2D5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color w:val="auto"/>
                <w:kern w:val="2"/>
                <w:sz w:val="28"/>
                <w:szCs w:val="28"/>
                <w:highlight w:val="none"/>
                <w:u w:val="none"/>
                <w:lang w:val="en-US" w:eastAsia="zh-CN" w:bidi="ar"/>
              </w:rPr>
              <w:t>4、树木安全专项检查，及时清除歪倒、断枝等安全隐患，并形成台账及时上交。</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79012B2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711514E3">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7789C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0CD68733">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661EFB9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414A8D9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color w:val="auto"/>
                <w:kern w:val="2"/>
                <w:sz w:val="28"/>
                <w:szCs w:val="28"/>
                <w:highlight w:val="none"/>
                <w:u w:val="none"/>
                <w:lang w:val="en-US" w:eastAsia="zh-CN" w:bidi="ar"/>
              </w:rPr>
              <w:t>5、仓库管理规范，农药、汽油等出入库记录如实且详细，购买渠道正规，符合国家规定标准。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5911772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lang w:val="en-US"/>
              </w:rPr>
            </w:pPr>
            <w:r>
              <w:rPr>
                <w:rFonts w:hint="eastAsia" w:ascii="宋体" w:hAnsi="宋体" w:eastAsia="宋体" w:cs="宋体"/>
                <w:i w:val="0"/>
                <w:iCs w:val="0"/>
                <w:color w:val="auto"/>
                <w:kern w:val="0"/>
                <w:sz w:val="28"/>
                <w:szCs w:val="28"/>
                <w:highlight w:val="none"/>
                <w:u w:val="none"/>
                <w:lang w:val="en-US" w:eastAsia="zh-CN" w:bidi="ar"/>
              </w:rPr>
              <w:t>0.5</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763FF274">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707D68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34C516A0">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0C4E88E9">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61E72F5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color w:val="auto"/>
                <w:kern w:val="2"/>
                <w:sz w:val="28"/>
                <w:szCs w:val="28"/>
                <w:highlight w:val="none"/>
                <w:u w:val="none"/>
                <w:lang w:val="en-US" w:eastAsia="zh-CN" w:bidi="ar"/>
              </w:rPr>
              <w:t>6、施工产生的绿化垃圾必须做到施工结束时及时清场，不得随意堆放。车辆运输时无抛洒滴漏。</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480A496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75DFD7B8">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245C24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4D1FDD85">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41D99F1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4893CDE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7、外围网清理，围网两边1米范围内无杂草杂树，无藤蔓，无枯死枝，存在安全隐患的树枝及时修剪。</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4B884AD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lang w:val="en-US" w:eastAsia="zh-CN"/>
              </w:rPr>
            </w:pPr>
            <w:r>
              <w:rPr>
                <w:rFonts w:hint="eastAsia" w:ascii="宋体" w:hAnsi="宋体" w:eastAsia="宋体" w:cs="宋体"/>
                <w:i w:val="0"/>
                <w:iCs w:val="0"/>
                <w:color w:val="auto"/>
                <w:kern w:val="2"/>
                <w:sz w:val="28"/>
                <w:szCs w:val="28"/>
                <w:highlight w:val="none"/>
                <w:u w:val="none"/>
                <w:lang w:val="en-US" w:eastAsia="zh-CN"/>
              </w:rPr>
              <w:t>0.5</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35CBB49D">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0FC09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restart"/>
            <w:tcBorders>
              <w:top w:val="single" w:color="000000" w:sz="4" w:space="0"/>
              <w:left w:val="single" w:color="000000" w:sz="4" w:space="0"/>
              <w:bottom w:val="single" w:color="000000" w:sz="4" w:space="0"/>
              <w:right w:val="single" w:color="000000" w:sz="4" w:space="0"/>
            </w:tcBorders>
            <w:noWrap w:val="0"/>
            <w:vAlign w:val="center"/>
          </w:tcPr>
          <w:p w14:paraId="66F80D0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6</w:t>
            </w:r>
          </w:p>
        </w:tc>
        <w:tc>
          <w:tcPr>
            <w:tcW w:w="677" w:type="pct"/>
            <w:vMerge w:val="restart"/>
            <w:tcBorders>
              <w:top w:val="single" w:color="000000" w:sz="4" w:space="0"/>
              <w:left w:val="single" w:color="000000" w:sz="4" w:space="0"/>
              <w:bottom w:val="single" w:color="000000" w:sz="4" w:space="0"/>
              <w:right w:val="single" w:color="000000" w:sz="4" w:space="0"/>
            </w:tcBorders>
            <w:noWrap w:val="0"/>
            <w:vAlign w:val="center"/>
          </w:tcPr>
          <w:p w14:paraId="13555C5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山林（竹林、成林）（4分）</w:t>
            </w: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723365E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1、竹子生长正常，基本无枯死枝，基本无倾斜歪倒，每发现一处扣0.5分。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2FA30F6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15AB21F1">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5F617E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15872AA3">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67EF3E0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764F56F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2、对竹林做好管护、去杂、抚育工作。</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4E17424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580DC062">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56A811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3C273A96">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7BB703D9">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38732B3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3、清理成林林下，沿路可视范围无枯死枝及藤蔓缠绕。</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5ABC387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310A4003">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7A5A6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4F0EC368">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2BBAA69C">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4FAFE61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4、成林林下无小灌木、杂草、白色垃圾；上山道路两侧5米，无垃圾，杂物及时清运，每发现一处扣0.5分。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0C4F104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37DECC92">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013CAA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restart"/>
            <w:tcBorders>
              <w:top w:val="single" w:color="000000" w:sz="4" w:space="0"/>
              <w:left w:val="single" w:color="000000" w:sz="4" w:space="0"/>
              <w:bottom w:val="single" w:color="000000" w:sz="4" w:space="0"/>
              <w:right w:val="single" w:color="000000" w:sz="4" w:space="0"/>
            </w:tcBorders>
            <w:noWrap w:val="0"/>
            <w:vAlign w:val="center"/>
          </w:tcPr>
          <w:p w14:paraId="610F293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7</w:t>
            </w:r>
          </w:p>
        </w:tc>
        <w:tc>
          <w:tcPr>
            <w:tcW w:w="677" w:type="pct"/>
            <w:vMerge w:val="restart"/>
            <w:tcBorders>
              <w:top w:val="single" w:color="000000" w:sz="4" w:space="0"/>
              <w:left w:val="single" w:color="000000" w:sz="4" w:space="0"/>
              <w:bottom w:val="single" w:color="000000" w:sz="4" w:space="0"/>
              <w:right w:val="single" w:color="000000" w:sz="4" w:space="0"/>
            </w:tcBorders>
            <w:noWrap w:val="0"/>
            <w:vAlign w:val="center"/>
          </w:tcPr>
          <w:p w14:paraId="5CFEB57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花灌木（5分）</w:t>
            </w: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5395D43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1、花灌木管理到位（修剪、施肥等）确保景观效果良好，枝条密实均匀，无明显枯枝、断枝、病虫枝。</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20AAF28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66AC2845">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3D9FB8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5BEACBE9">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27777550">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3E8F1EE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2、叶色正常，无卷叶、黄叶，及时防治病虫害。病虫害防止不及时，造成蔓延，严重影响景观，每发现一处扣1分。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7EC430F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lang w:val="en-US"/>
              </w:rPr>
            </w:pPr>
            <w:r>
              <w:rPr>
                <w:rFonts w:hint="eastAsia" w:ascii="宋体" w:hAnsi="宋体" w:eastAsia="宋体" w:cs="宋体"/>
                <w:i w:val="0"/>
                <w:iCs w:val="0"/>
                <w:color w:val="auto"/>
                <w:kern w:val="0"/>
                <w:sz w:val="28"/>
                <w:szCs w:val="28"/>
                <w:highlight w:val="none"/>
                <w:u w:val="none"/>
                <w:lang w:val="en-US" w:eastAsia="zh-CN" w:bidi="ar"/>
              </w:rPr>
              <w:t>1.5</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335496D0">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481C7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47CF97EB">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542B6493">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76670CF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3、修剪合理、及时，保证正常花期。</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4F6F755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lang w:val="en-US"/>
              </w:rPr>
            </w:pPr>
            <w:r>
              <w:rPr>
                <w:rFonts w:hint="eastAsia" w:ascii="宋体" w:hAnsi="宋体" w:eastAsia="宋体" w:cs="宋体"/>
                <w:i w:val="0"/>
                <w:iCs w:val="0"/>
                <w:color w:val="auto"/>
                <w:kern w:val="0"/>
                <w:sz w:val="28"/>
                <w:szCs w:val="28"/>
                <w:highlight w:val="none"/>
                <w:u w:val="none"/>
                <w:lang w:val="en-US" w:eastAsia="zh-CN" w:bidi="ar"/>
              </w:rPr>
              <w:t>1.5</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7B6AA45D">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20CB14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restart"/>
            <w:tcBorders>
              <w:top w:val="single" w:color="000000" w:sz="4" w:space="0"/>
              <w:left w:val="single" w:color="000000" w:sz="4" w:space="0"/>
              <w:bottom w:val="single" w:color="000000" w:sz="4" w:space="0"/>
              <w:right w:val="single" w:color="000000" w:sz="4" w:space="0"/>
            </w:tcBorders>
            <w:noWrap w:val="0"/>
            <w:vAlign w:val="center"/>
          </w:tcPr>
          <w:p w14:paraId="1FC00DB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8</w:t>
            </w:r>
          </w:p>
        </w:tc>
        <w:tc>
          <w:tcPr>
            <w:tcW w:w="677" w:type="pct"/>
            <w:vMerge w:val="restart"/>
            <w:tcBorders>
              <w:top w:val="single" w:color="000000" w:sz="4" w:space="0"/>
              <w:left w:val="single" w:color="000000" w:sz="4" w:space="0"/>
              <w:bottom w:val="single" w:color="000000" w:sz="4" w:space="0"/>
              <w:right w:val="single" w:color="000000" w:sz="4" w:space="0"/>
            </w:tcBorders>
            <w:noWrap w:val="0"/>
            <w:vAlign w:val="center"/>
          </w:tcPr>
          <w:p w14:paraId="06E3461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浇水（3分）</w:t>
            </w: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6EE7907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1、夏季一周无雨，组织抗旱浇水，其他季节10天无雨，组织抗旱浇水。</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15BA219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7AEA9EF3">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5133FA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218C69DE">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54A0E436">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3B6055B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color w:val="auto"/>
                <w:kern w:val="2"/>
                <w:sz w:val="28"/>
                <w:szCs w:val="28"/>
                <w:highlight w:val="none"/>
                <w:u w:val="none"/>
                <w:lang w:val="en-US" w:eastAsia="zh-CN" w:bidi="ar"/>
              </w:rPr>
              <w:t>2、花坛及节日布花，无杂草、无死株、无空秃、残花率超过70%及时撤除，时时观察，不得倒蔫。每发现一处扣0.5分。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4EC4DCB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3F2FCE10">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1C3834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6A1630E8">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739B6C1E">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7063E82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3、新植植株，灌水、补水及时。</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3BA0117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38C5AA26">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120471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restart"/>
            <w:tcBorders>
              <w:top w:val="single" w:color="000000" w:sz="4" w:space="0"/>
              <w:left w:val="single" w:color="000000" w:sz="4" w:space="0"/>
              <w:bottom w:val="single" w:color="000000" w:sz="4" w:space="0"/>
              <w:right w:val="single" w:color="000000" w:sz="4" w:space="0"/>
            </w:tcBorders>
            <w:noWrap w:val="0"/>
            <w:vAlign w:val="center"/>
          </w:tcPr>
          <w:p w14:paraId="6387151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9</w:t>
            </w:r>
          </w:p>
        </w:tc>
        <w:tc>
          <w:tcPr>
            <w:tcW w:w="677" w:type="pct"/>
            <w:vMerge w:val="restart"/>
            <w:tcBorders>
              <w:top w:val="single" w:color="000000" w:sz="4" w:space="0"/>
              <w:left w:val="single" w:color="000000" w:sz="4" w:space="0"/>
              <w:bottom w:val="single" w:color="000000" w:sz="4" w:space="0"/>
              <w:right w:val="single" w:color="000000" w:sz="4" w:space="0"/>
            </w:tcBorders>
            <w:noWrap w:val="0"/>
            <w:vAlign w:val="center"/>
          </w:tcPr>
          <w:p w14:paraId="1F840B8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施肥（1.5分）</w:t>
            </w: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2A7B409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1、上报施肥计划，全年观花植物、色块、草坪必须全面施肥一次。</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5DD6739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lang w:val="en-US"/>
              </w:rPr>
            </w:pPr>
            <w:r>
              <w:rPr>
                <w:rFonts w:hint="eastAsia" w:ascii="宋体" w:hAnsi="宋体" w:eastAsia="宋体" w:cs="宋体"/>
                <w:i w:val="0"/>
                <w:iCs w:val="0"/>
                <w:color w:val="auto"/>
                <w:kern w:val="0"/>
                <w:sz w:val="28"/>
                <w:szCs w:val="28"/>
                <w:highlight w:val="none"/>
                <w:u w:val="none"/>
                <w:lang w:val="en-US" w:eastAsia="zh-CN" w:bidi="ar"/>
              </w:rPr>
              <w:t>0.5</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2E901691">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419B41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5772BACB">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44D17F75">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7E6ABC9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2、施肥时有记录、有甲方监督。</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5AC5618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710820A0">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62349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restart"/>
            <w:tcBorders>
              <w:top w:val="single" w:color="000000" w:sz="4" w:space="0"/>
              <w:left w:val="single" w:color="000000" w:sz="4" w:space="0"/>
              <w:bottom w:val="single" w:color="000000" w:sz="4" w:space="0"/>
              <w:right w:val="single" w:color="000000" w:sz="4" w:space="0"/>
            </w:tcBorders>
            <w:noWrap w:val="0"/>
            <w:vAlign w:val="center"/>
          </w:tcPr>
          <w:p w14:paraId="77C98E4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10</w:t>
            </w:r>
          </w:p>
        </w:tc>
        <w:tc>
          <w:tcPr>
            <w:tcW w:w="677" w:type="pct"/>
            <w:vMerge w:val="restart"/>
            <w:tcBorders>
              <w:top w:val="single" w:color="000000" w:sz="4" w:space="0"/>
              <w:left w:val="single" w:color="000000" w:sz="4" w:space="0"/>
              <w:bottom w:val="single" w:color="000000" w:sz="4" w:space="0"/>
              <w:right w:val="single" w:color="000000" w:sz="4" w:space="0"/>
            </w:tcBorders>
            <w:noWrap w:val="0"/>
            <w:vAlign w:val="center"/>
          </w:tcPr>
          <w:p w14:paraId="3E39E64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补植苗木养护（1.5分）</w:t>
            </w: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100E77E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1、浇水及时。</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0EE8D1F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lang w:val="en-US"/>
              </w:rPr>
            </w:pPr>
            <w:r>
              <w:rPr>
                <w:rFonts w:hint="eastAsia" w:ascii="宋体" w:hAnsi="宋体" w:eastAsia="宋体" w:cs="宋体"/>
                <w:i w:val="0"/>
                <w:iCs w:val="0"/>
                <w:color w:val="auto"/>
                <w:kern w:val="0"/>
                <w:sz w:val="28"/>
                <w:szCs w:val="28"/>
                <w:highlight w:val="none"/>
                <w:u w:val="none"/>
                <w:lang w:val="en-US" w:eastAsia="zh-CN" w:bidi="ar"/>
              </w:rPr>
              <w:t>0.5</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12566060">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5019A4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2CCF94B3">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36EF262F">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6CE57C6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2、除草、修剪及时。</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6D84659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lang w:val="en-US"/>
              </w:rPr>
            </w:pPr>
            <w:r>
              <w:rPr>
                <w:rFonts w:hint="eastAsia" w:ascii="宋体" w:hAnsi="宋体" w:eastAsia="宋体" w:cs="宋体"/>
                <w:i w:val="0"/>
                <w:iCs w:val="0"/>
                <w:color w:val="auto"/>
                <w:kern w:val="0"/>
                <w:sz w:val="28"/>
                <w:szCs w:val="28"/>
                <w:highlight w:val="none"/>
                <w:u w:val="none"/>
                <w:lang w:val="en-US" w:eastAsia="zh-CN" w:bidi="ar"/>
              </w:rPr>
              <w:t>0.5</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7D3DC9DA">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75D103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5858A63F">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78BA911E">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30BAADE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3、管护、补植积极。</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4493BEE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lang w:val="en-US"/>
              </w:rPr>
            </w:pPr>
            <w:r>
              <w:rPr>
                <w:rFonts w:hint="eastAsia" w:ascii="宋体" w:hAnsi="宋体" w:eastAsia="宋体" w:cs="宋体"/>
                <w:i w:val="0"/>
                <w:iCs w:val="0"/>
                <w:color w:val="auto"/>
                <w:kern w:val="0"/>
                <w:sz w:val="28"/>
                <w:szCs w:val="28"/>
                <w:highlight w:val="none"/>
                <w:u w:val="none"/>
                <w:lang w:val="en-US" w:eastAsia="zh-CN" w:bidi="ar"/>
              </w:rPr>
              <w:t>0.5</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17754AEC">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28AEF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1059" w:type="pct"/>
            <w:gridSpan w:val="2"/>
            <w:tcBorders>
              <w:top w:val="single" w:color="000000" w:sz="4" w:space="0"/>
              <w:left w:val="single" w:color="000000" w:sz="4" w:space="0"/>
              <w:bottom w:val="single" w:color="000000" w:sz="4" w:space="0"/>
              <w:right w:val="single" w:color="000000" w:sz="4" w:space="0"/>
            </w:tcBorders>
            <w:noWrap/>
            <w:vAlign w:val="center"/>
          </w:tcPr>
          <w:p w14:paraId="6B73FCF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考核人：</w:t>
            </w:r>
          </w:p>
        </w:tc>
        <w:tc>
          <w:tcPr>
            <w:tcW w:w="3150" w:type="pct"/>
            <w:tcBorders>
              <w:top w:val="single" w:color="000000" w:sz="4" w:space="0"/>
              <w:left w:val="single" w:color="000000" w:sz="4" w:space="0"/>
              <w:bottom w:val="single" w:color="000000" w:sz="4" w:space="0"/>
              <w:right w:val="single" w:color="000000" w:sz="4" w:space="0"/>
            </w:tcBorders>
            <w:noWrap/>
            <w:vAlign w:val="center"/>
          </w:tcPr>
          <w:p w14:paraId="5A264EC2">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406" w:type="pct"/>
            <w:tcBorders>
              <w:top w:val="single" w:color="000000" w:sz="4" w:space="0"/>
              <w:left w:val="single" w:color="000000" w:sz="4" w:space="0"/>
              <w:bottom w:val="single" w:color="000000" w:sz="4" w:space="0"/>
              <w:right w:val="single" w:color="000000" w:sz="4" w:space="0"/>
            </w:tcBorders>
            <w:noWrap/>
            <w:vAlign w:val="center"/>
          </w:tcPr>
          <w:p w14:paraId="77308F1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合计</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21A4B353">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bl>
    <w:p w14:paraId="163F5F08">
      <w:pPr>
        <w:keepNext w:val="0"/>
        <w:keepLines w:val="0"/>
        <w:pageBreakBefore w:val="0"/>
        <w:kinsoku/>
        <w:wordWrap/>
        <w:overflowPunct/>
        <w:topLinePunct w:val="0"/>
        <w:autoSpaceDE/>
        <w:autoSpaceDN/>
        <w:bidi w:val="0"/>
        <w:adjustRightInd/>
        <w:snapToGrid/>
        <w:spacing w:line="360" w:lineRule="auto"/>
        <w:ind w:left="2" w:leftChars="1" w:firstLine="560" w:firstLineChars="200"/>
        <w:rPr>
          <w:rFonts w:hint="eastAsia" w:ascii="宋体" w:hAnsi="宋体" w:eastAsia="宋体" w:cs="宋体"/>
          <w:color w:val="auto"/>
          <w:kern w:val="2"/>
          <w:sz w:val="28"/>
          <w:szCs w:val="28"/>
          <w:highlight w:val="none"/>
          <w:lang w:val="en-US" w:eastAsia="zh-CN"/>
        </w:rPr>
      </w:pPr>
    </w:p>
    <w:p w14:paraId="395315AD">
      <w:pPr>
        <w:pageBreakBefore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color w:val="auto"/>
          <w:sz w:val="24"/>
          <w:szCs w:val="24"/>
          <w:highlight w:val="none"/>
          <w:lang w:val="en-US" w:eastAsia="zh-CN"/>
        </w:rPr>
      </w:pPr>
    </w:p>
    <w:p w14:paraId="728EDBE2">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color w:val="auto"/>
          <w:sz w:val="36"/>
          <w:highlight w:val="none"/>
        </w:rPr>
      </w:pPr>
    </w:p>
    <w:p w14:paraId="7A4AD185">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color w:val="auto"/>
          <w:sz w:val="36"/>
          <w:highlight w:val="none"/>
        </w:rPr>
      </w:pPr>
    </w:p>
    <w:p w14:paraId="44E5FF10">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color w:val="auto"/>
          <w:sz w:val="36"/>
          <w:highlight w:val="none"/>
        </w:rPr>
      </w:pPr>
    </w:p>
    <w:p w14:paraId="3E3F5D1B">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color w:val="auto"/>
          <w:sz w:val="36"/>
          <w:highlight w:val="none"/>
        </w:rPr>
      </w:pPr>
    </w:p>
    <w:p w14:paraId="0F83ACF3">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color w:val="auto"/>
          <w:sz w:val="36"/>
          <w:highlight w:val="none"/>
        </w:rPr>
      </w:pPr>
    </w:p>
    <w:p w14:paraId="2FE4A0B5">
      <w:pPr>
        <w:pageBreakBefore w:val="0"/>
        <w:kinsoku/>
        <w:wordWrap/>
        <w:overflowPunct/>
        <w:topLinePunct w:val="0"/>
        <w:autoSpaceDE/>
        <w:autoSpaceDN/>
        <w:bidi w:val="0"/>
        <w:adjustRightInd/>
        <w:snapToGrid/>
        <w:spacing w:line="360" w:lineRule="auto"/>
        <w:ind w:right="567"/>
        <w:textAlignment w:val="auto"/>
        <w:rPr>
          <w:rFonts w:hint="eastAsia" w:ascii="宋体" w:hAnsi="宋体" w:eastAsia="宋体" w:cs="宋体"/>
          <w:color w:val="auto"/>
          <w:sz w:val="28"/>
          <w:szCs w:val="28"/>
          <w:highlight w:val="none"/>
        </w:rPr>
      </w:pPr>
    </w:p>
    <w:p w14:paraId="4AFE734E">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度假区</w:t>
      </w:r>
      <w:r>
        <w:rPr>
          <w:rFonts w:hint="eastAsia" w:ascii="宋体" w:hAnsi="宋体" w:eastAsia="宋体" w:cs="宋体"/>
          <w:color w:val="auto"/>
          <w:kern w:val="2"/>
          <w:sz w:val="28"/>
          <w:szCs w:val="28"/>
          <w:highlight w:val="none"/>
          <w:lang w:eastAsia="zh-CN"/>
        </w:rPr>
        <w:t>道路</w:t>
      </w:r>
      <w:r>
        <w:rPr>
          <w:rFonts w:hint="eastAsia" w:ascii="宋体" w:hAnsi="宋体" w:eastAsia="宋体" w:cs="宋体"/>
          <w:color w:val="auto"/>
          <w:kern w:val="2"/>
          <w:sz w:val="28"/>
          <w:szCs w:val="28"/>
          <w:highlight w:val="none"/>
          <w:lang w:val="en-US" w:eastAsia="zh-CN"/>
        </w:rPr>
        <w:t>保洁绿化养护精细化管理</w:t>
      </w:r>
    </w:p>
    <w:p w14:paraId="50476064">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lang w:eastAsia="zh-CN"/>
        </w:rPr>
        <w:t>考核办法</w:t>
      </w:r>
    </w:p>
    <w:p w14:paraId="667E9001">
      <w:pPr>
        <w:keepNext w:val="0"/>
        <w:keepLines w:val="0"/>
        <w:pageBreakBefore w:val="0"/>
        <w:kinsoku/>
        <w:wordWrap/>
        <w:overflowPunct/>
        <w:topLinePunct w:val="0"/>
        <w:autoSpaceDE/>
        <w:autoSpaceDN/>
        <w:bidi w:val="0"/>
        <w:adjustRightInd/>
        <w:snapToGrid/>
        <w:spacing w:line="360" w:lineRule="auto"/>
        <w:ind w:firstLine="548" w:firstLineChars="196"/>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为全面提升辖区道路保洁绿化养护精细化管理水平，建立养护考核工作新模式，落实长效管理机制，规范组织检查考核工作，结合度假区实际情况，特制定本办法。</w:t>
      </w:r>
    </w:p>
    <w:p w14:paraId="10AD6C06">
      <w:pPr>
        <w:keepNext w:val="0"/>
        <w:keepLines w:val="0"/>
        <w:pageBreakBefore w:val="0"/>
        <w:kinsoku/>
        <w:wordWrap/>
        <w:overflowPunct/>
        <w:topLinePunct w:val="0"/>
        <w:autoSpaceDE/>
        <w:autoSpaceDN/>
        <w:bidi w:val="0"/>
        <w:adjustRightInd/>
        <w:snapToGrid/>
        <w:spacing w:line="360" w:lineRule="auto"/>
        <w:ind w:firstLine="560" w:firstLineChars="200"/>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一、总则</w:t>
      </w:r>
    </w:p>
    <w:p w14:paraId="136E3012">
      <w:pPr>
        <w:keepNext w:val="0"/>
        <w:keepLines w:val="0"/>
        <w:pageBreakBefore w:val="0"/>
        <w:kinsoku/>
        <w:wordWrap/>
        <w:overflowPunct/>
        <w:topLinePunct w:val="0"/>
        <w:autoSpaceDE/>
        <w:autoSpaceDN/>
        <w:bidi w:val="0"/>
        <w:adjustRightInd/>
        <w:snapToGrid/>
        <w:spacing w:line="360" w:lineRule="auto"/>
        <w:ind w:firstLine="560" w:firstLineChars="200"/>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1、采用</w:t>
      </w:r>
      <w:r>
        <w:rPr>
          <w:rFonts w:hint="eastAsia" w:ascii="宋体" w:hAnsi="宋体" w:eastAsia="宋体" w:cs="宋体"/>
          <w:color w:val="auto"/>
          <w:kern w:val="2"/>
          <w:sz w:val="28"/>
          <w:szCs w:val="28"/>
          <w:highlight w:val="none"/>
          <w:lang w:val="en-US" w:eastAsia="zh-CN"/>
        </w:rPr>
        <w:t>百分制</w:t>
      </w:r>
      <w:r>
        <w:rPr>
          <w:rFonts w:hint="eastAsia" w:ascii="宋体" w:hAnsi="宋体" w:eastAsia="宋体" w:cs="宋体"/>
          <w:color w:val="auto"/>
          <w:kern w:val="2"/>
          <w:sz w:val="28"/>
          <w:szCs w:val="28"/>
          <w:highlight w:val="none"/>
        </w:rPr>
        <w:t>考核办法，有专用</w:t>
      </w:r>
      <w:r>
        <w:rPr>
          <w:rFonts w:hint="eastAsia" w:ascii="宋体" w:hAnsi="宋体" w:eastAsia="宋体" w:cs="宋体"/>
          <w:color w:val="auto"/>
          <w:kern w:val="2"/>
          <w:sz w:val="28"/>
          <w:szCs w:val="28"/>
          <w:highlight w:val="none"/>
          <w:lang w:val="en-US" w:eastAsia="zh-CN"/>
        </w:rPr>
        <w:t>保洁和绿化</w:t>
      </w:r>
      <w:r>
        <w:rPr>
          <w:rFonts w:hint="eastAsia" w:ascii="宋体" w:hAnsi="宋体" w:eastAsia="宋体" w:cs="宋体"/>
          <w:color w:val="auto"/>
          <w:kern w:val="2"/>
          <w:sz w:val="28"/>
          <w:szCs w:val="28"/>
          <w:highlight w:val="none"/>
        </w:rPr>
        <w:t>考核表。</w:t>
      </w:r>
    </w:p>
    <w:p w14:paraId="681B6AA2">
      <w:pPr>
        <w:keepNext w:val="0"/>
        <w:keepLines w:val="0"/>
        <w:pageBreakBefore w:val="0"/>
        <w:kinsoku/>
        <w:wordWrap/>
        <w:overflowPunct/>
        <w:topLinePunct w:val="0"/>
        <w:autoSpaceDE/>
        <w:autoSpaceDN/>
        <w:bidi w:val="0"/>
        <w:adjustRightInd/>
        <w:snapToGrid/>
        <w:spacing w:line="360" w:lineRule="auto"/>
        <w:ind w:firstLine="560" w:firstLineChars="200"/>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2、</w:t>
      </w:r>
      <w:r>
        <w:rPr>
          <w:rFonts w:hint="eastAsia" w:ascii="宋体" w:hAnsi="宋体" w:eastAsia="宋体" w:cs="宋体"/>
          <w:color w:val="auto"/>
          <w:kern w:val="2"/>
          <w:sz w:val="28"/>
          <w:szCs w:val="28"/>
          <w:highlight w:val="none"/>
        </w:rPr>
        <w:t>考核为不定期考核，采取现场扣分制考核，每</w:t>
      </w:r>
      <w:r>
        <w:rPr>
          <w:rFonts w:hint="eastAsia" w:ascii="宋体" w:hAnsi="宋体" w:eastAsia="宋体" w:cs="宋体"/>
          <w:color w:val="auto"/>
          <w:kern w:val="2"/>
          <w:sz w:val="28"/>
          <w:szCs w:val="28"/>
          <w:highlight w:val="none"/>
          <w:lang w:val="en-US" w:eastAsia="zh-CN"/>
        </w:rPr>
        <w:t>月</w:t>
      </w:r>
      <w:r>
        <w:rPr>
          <w:rFonts w:hint="eastAsia" w:ascii="宋体" w:hAnsi="宋体" w:eastAsia="宋体" w:cs="宋体"/>
          <w:color w:val="auto"/>
          <w:kern w:val="2"/>
          <w:sz w:val="28"/>
          <w:szCs w:val="28"/>
          <w:highlight w:val="none"/>
        </w:rPr>
        <w:t>不少于</w:t>
      </w:r>
      <w:r>
        <w:rPr>
          <w:rFonts w:hint="eastAsia" w:ascii="宋体" w:hAnsi="宋体" w:eastAsia="宋体" w:cs="宋体"/>
          <w:color w:val="auto"/>
          <w:kern w:val="2"/>
          <w:sz w:val="28"/>
          <w:szCs w:val="28"/>
          <w:highlight w:val="none"/>
          <w:lang w:val="en-US" w:eastAsia="zh-CN"/>
        </w:rPr>
        <w:t>4</w:t>
      </w:r>
      <w:r>
        <w:rPr>
          <w:rFonts w:hint="eastAsia" w:ascii="宋体" w:hAnsi="宋体" w:eastAsia="宋体" w:cs="宋体"/>
          <w:color w:val="auto"/>
          <w:kern w:val="2"/>
          <w:sz w:val="28"/>
          <w:szCs w:val="28"/>
          <w:highlight w:val="none"/>
        </w:rPr>
        <w:t>次。</w:t>
      </w:r>
      <w:r>
        <w:rPr>
          <w:rFonts w:hint="eastAsia" w:ascii="宋体" w:hAnsi="宋体" w:eastAsia="宋体" w:cs="宋体"/>
          <w:color w:val="auto"/>
          <w:kern w:val="2"/>
          <w:sz w:val="28"/>
          <w:szCs w:val="28"/>
          <w:highlight w:val="none"/>
          <w:lang w:val="en-US" w:eastAsia="zh-CN"/>
        </w:rPr>
        <w:t>百分制考核，保洁和绿化各占50分，每次考核分数由保洁和绿化考核分数总和组成，</w:t>
      </w:r>
      <w:r>
        <w:rPr>
          <w:rFonts w:hint="eastAsia" w:ascii="宋体" w:hAnsi="宋体" w:eastAsia="宋体" w:cs="宋体"/>
          <w:color w:val="auto"/>
          <w:kern w:val="2"/>
          <w:sz w:val="28"/>
          <w:szCs w:val="28"/>
          <w:highlight w:val="none"/>
        </w:rPr>
        <w:t>对考核中发现的问题由专人记录，并拍照</w:t>
      </w:r>
      <w:r>
        <w:rPr>
          <w:rFonts w:hint="eastAsia" w:ascii="宋体" w:hAnsi="宋体" w:eastAsia="宋体" w:cs="宋体"/>
          <w:color w:val="auto"/>
          <w:kern w:val="2"/>
          <w:sz w:val="28"/>
          <w:szCs w:val="28"/>
          <w:highlight w:val="none"/>
          <w:lang w:val="en-US" w:eastAsia="zh-CN"/>
        </w:rPr>
        <w:t>反馈至工作群</w:t>
      </w:r>
      <w:r>
        <w:rPr>
          <w:rFonts w:hint="eastAsia" w:ascii="宋体" w:hAnsi="宋体" w:eastAsia="宋体" w:cs="宋体"/>
          <w:color w:val="auto"/>
          <w:kern w:val="2"/>
          <w:sz w:val="28"/>
          <w:szCs w:val="28"/>
          <w:highlight w:val="none"/>
        </w:rPr>
        <w:t>。</w:t>
      </w:r>
      <w:r>
        <w:rPr>
          <w:rFonts w:hint="eastAsia" w:ascii="宋体" w:hAnsi="宋体" w:eastAsia="宋体" w:cs="宋体"/>
          <w:color w:val="auto"/>
          <w:kern w:val="2"/>
          <w:sz w:val="28"/>
          <w:szCs w:val="28"/>
          <w:highlight w:val="none"/>
          <w:lang w:val="en-US" w:eastAsia="zh-CN"/>
        </w:rPr>
        <w:t>当月考核分数为本月4次考核分数平均值。</w:t>
      </w:r>
    </w:p>
    <w:p w14:paraId="70D8BA07">
      <w:pPr>
        <w:keepNext w:val="0"/>
        <w:keepLines w:val="0"/>
        <w:pageBreakBefore w:val="0"/>
        <w:kinsoku/>
        <w:wordWrap/>
        <w:overflowPunct/>
        <w:topLinePunct w:val="0"/>
        <w:autoSpaceDE/>
        <w:autoSpaceDN/>
        <w:bidi w:val="0"/>
        <w:adjustRightInd/>
        <w:snapToGrid/>
        <w:spacing w:line="360" w:lineRule="auto"/>
        <w:ind w:left="2" w:leftChars="1" w:firstLine="560" w:firstLineChars="200"/>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3</w:t>
      </w:r>
      <w:r>
        <w:rPr>
          <w:rFonts w:hint="eastAsia" w:ascii="宋体" w:hAnsi="宋体" w:eastAsia="宋体" w:cs="宋体"/>
          <w:color w:val="auto"/>
          <w:kern w:val="2"/>
          <w:sz w:val="28"/>
          <w:szCs w:val="28"/>
          <w:highlight w:val="none"/>
        </w:rPr>
        <w:t>、每周向管养单位反馈</w:t>
      </w:r>
      <w:r>
        <w:rPr>
          <w:rFonts w:hint="eastAsia" w:ascii="宋体" w:hAnsi="宋体" w:eastAsia="宋体" w:cs="宋体"/>
          <w:color w:val="auto"/>
          <w:kern w:val="2"/>
          <w:sz w:val="28"/>
          <w:szCs w:val="28"/>
          <w:highlight w:val="none"/>
          <w:lang w:val="en-US" w:eastAsia="zh-CN"/>
        </w:rPr>
        <w:t>1</w:t>
      </w:r>
      <w:r>
        <w:rPr>
          <w:rFonts w:hint="eastAsia" w:ascii="宋体" w:hAnsi="宋体" w:eastAsia="宋体" w:cs="宋体"/>
          <w:color w:val="auto"/>
          <w:kern w:val="2"/>
          <w:sz w:val="28"/>
          <w:szCs w:val="28"/>
          <w:highlight w:val="none"/>
        </w:rPr>
        <w:t>周扣分情况，每月初向管养单位通报上个月的扣分情况</w:t>
      </w:r>
      <w:r>
        <w:rPr>
          <w:rFonts w:hint="eastAsia" w:ascii="宋体" w:hAnsi="宋体" w:eastAsia="宋体" w:cs="宋体"/>
          <w:color w:val="auto"/>
          <w:kern w:val="2"/>
          <w:sz w:val="28"/>
          <w:szCs w:val="28"/>
          <w:highlight w:val="none"/>
          <w:lang w:val="en-US" w:eastAsia="zh-CN"/>
        </w:rPr>
        <w:t>及对应服务费</w:t>
      </w:r>
      <w:r>
        <w:rPr>
          <w:rFonts w:hint="eastAsia" w:ascii="宋体" w:hAnsi="宋体" w:eastAsia="宋体" w:cs="宋体"/>
          <w:color w:val="auto"/>
          <w:kern w:val="2"/>
          <w:sz w:val="28"/>
          <w:szCs w:val="28"/>
          <w:highlight w:val="none"/>
        </w:rPr>
        <w:t>。</w:t>
      </w:r>
    </w:p>
    <w:p w14:paraId="2F9483FF">
      <w:pPr>
        <w:keepNext w:val="0"/>
        <w:keepLines w:val="0"/>
        <w:pageBreakBefore w:val="0"/>
        <w:kinsoku/>
        <w:wordWrap/>
        <w:overflowPunct/>
        <w:topLinePunct w:val="0"/>
        <w:autoSpaceDE/>
        <w:autoSpaceDN/>
        <w:bidi w:val="0"/>
        <w:adjustRightInd/>
        <w:snapToGrid/>
        <w:spacing w:line="360" w:lineRule="auto"/>
        <w:ind w:firstLine="560" w:firstLineChars="200"/>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4</w:t>
      </w:r>
      <w:r>
        <w:rPr>
          <w:rFonts w:hint="eastAsia" w:ascii="宋体" w:hAnsi="宋体" w:eastAsia="宋体" w:cs="宋体"/>
          <w:color w:val="auto"/>
          <w:kern w:val="2"/>
          <w:sz w:val="28"/>
          <w:szCs w:val="28"/>
          <w:highlight w:val="none"/>
        </w:rPr>
        <w:t>、</w:t>
      </w:r>
      <w:r>
        <w:rPr>
          <w:rFonts w:hint="eastAsia" w:ascii="宋体" w:hAnsi="宋体" w:eastAsia="宋体" w:cs="宋体"/>
          <w:color w:val="auto"/>
          <w:kern w:val="2"/>
          <w:sz w:val="28"/>
          <w:szCs w:val="28"/>
          <w:highlight w:val="none"/>
          <w:lang w:val="en-US" w:eastAsia="zh-CN"/>
        </w:rPr>
        <w:t>考核实行百分制。得分在95分及以上，不扣当月管养费。得分95分（不含95分）以下90分以上（含90分），95分以下每扣0.1分，相对应在管养经费中扣除50元；若当月得分在90分（不含90分）以下85分以上（含85分），95分以下每扣0.1分则在相应管养经费中扣除100元；若当月得分85分以下，则扣减10%月度养护经费；</w:t>
      </w:r>
      <w:r>
        <w:rPr>
          <w:rFonts w:hint="eastAsia" w:ascii="宋体" w:hAnsi="宋体" w:eastAsia="宋体" w:cs="宋体"/>
          <w:i w:val="0"/>
          <w:iCs w:val="0"/>
          <w:color w:val="auto"/>
          <w:kern w:val="0"/>
          <w:sz w:val="28"/>
          <w:szCs w:val="28"/>
          <w:highlight w:val="none"/>
          <w:u w:val="none"/>
          <w:lang w:val="en-US" w:eastAsia="zh-CN" w:bidi="ar"/>
        </w:rPr>
        <w:t>连续2个月考核不合格的（85分以下）甲方有权终止协议，并且不承担违约责任</w:t>
      </w:r>
      <w:r>
        <w:rPr>
          <w:rFonts w:hint="eastAsia" w:ascii="宋体" w:hAnsi="宋体" w:eastAsia="宋体" w:cs="宋体"/>
          <w:color w:val="auto"/>
          <w:kern w:val="2"/>
          <w:sz w:val="28"/>
          <w:szCs w:val="28"/>
          <w:highlight w:val="none"/>
          <w:lang w:val="en-US" w:eastAsia="zh-CN"/>
        </w:rPr>
        <w:t>。</w:t>
      </w:r>
    </w:p>
    <w:p w14:paraId="36F50FA2">
      <w:pPr>
        <w:keepNext w:val="0"/>
        <w:keepLines w:val="0"/>
        <w:pageBreakBefore w:val="0"/>
        <w:kinsoku/>
        <w:wordWrap/>
        <w:overflowPunct/>
        <w:topLinePunct w:val="0"/>
        <w:autoSpaceDE/>
        <w:autoSpaceDN/>
        <w:bidi w:val="0"/>
        <w:adjustRightInd/>
        <w:snapToGrid/>
        <w:spacing w:line="360" w:lineRule="auto"/>
        <w:ind w:left="-178" w:leftChars="-85" w:firstLine="560" w:firstLineChars="200"/>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二</w:t>
      </w:r>
      <w:r>
        <w:rPr>
          <w:rFonts w:hint="eastAsia" w:ascii="宋体" w:hAnsi="宋体" w:eastAsia="宋体" w:cs="宋体"/>
          <w:color w:val="auto"/>
          <w:kern w:val="2"/>
          <w:sz w:val="28"/>
          <w:szCs w:val="28"/>
          <w:highlight w:val="none"/>
        </w:rPr>
        <w:t>、考核评分</w:t>
      </w:r>
      <w:r>
        <w:rPr>
          <w:rFonts w:hint="eastAsia" w:ascii="宋体" w:hAnsi="宋体" w:eastAsia="宋体" w:cs="宋体"/>
          <w:color w:val="auto"/>
          <w:kern w:val="2"/>
          <w:sz w:val="28"/>
          <w:szCs w:val="28"/>
          <w:highlight w:val="none"/>
          <w:lang w:val="en-US" w:eastAsia="zh-CN"/>
        </w:rPr>
        <w:t>细则</w:t>
      </w:r>
    </w:p>
    <w:p w14:paraId="2AF4E1D9">
      <w:pPr>
        <w:keepNext w:val="0"/>
        <w:keepLines w:val="0"/>
        <w:pageBreakBefore w:val="0"/>
        <w:kinsoku/>
        <w:wordWrap/>
        <w:overflowPunct/>
        <w:topLinePunct w:val="0"/>
        <w:autoSpaceDE/>
        <w:autoSpaceDN/>
        <w:bidi w:val="0"/>
        <w:adjustRightInd/>
        <w:snapToGrid/>
        <w:spacing w:line="360" w:lineRule="auto"/>
        <w:ind w:left="-178" w:leftChars="-85" w:firstLine="560" w:firstLineChars="200"/>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1、保洁（共50分）</w:t>
      </w:r>
    </w:p>
    <w:tbl>
      <w:tblPr>
        <w:tblStyle w:val="29"/>
        <w:tblW w:w="514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8"/>
        <w:gridCol w:w="4093"/>
        <w:gridCol w:w="4266"/>
      </w:tblGrid>
      <w:tr w14:paraId="3FB63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9" w:hRule="atLeast"/>
        </w:trPr>
        <w:tc>
          <w:tcPr>
            <w:tcW w:w="519" w:type="pct"/>
            <w:vMerge w:val="restart"/>
            <w:noWrap w:val="0"/>
            <w:vAlign w:val="center"/>
          </w:tcPr>
          <w:p w14:paraId="7CB2AA73">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lang w:eastAsia="zh-CN"/>
              </w:rPr>
            </w:pPr>
            <w:r>
              <w:rPr>
                <w:rFonts w:hint="eastAsia" w:ascii="宋体" w:hAnsi="宋体" w:eastAsia="宋体" w:cs="宋体"/>
                <w:b/>
                <w:color w:val="auto"/>
                <w:kern w:val="2"/>
                <w:sz w:val="28"/>
                <w:szCs w:val="28"/>
                <w:highlight w:val="none"/>
              </w:rPr>
              <w:t>常规养护</w:t>
            </w:r>
            <w:r>
              <w:rPr>
                <w:rFonts w:hint="eastAsia" w:ascii="宋体" w:hAnsi="宋体" w:eastAsia="宋体" w:cs="宋体"/>
                <w:b/>
                <w:color w:val="auto"/>
                <w:kern w:val="2"/>
                <w:sz w:val="28"/>
                <w:szCs w:val="28"/>
                <w:highlight w:val="none"/>
                <w:lang w:eastAsia="zh-CN"/>
              </w:rPr>
              <w:t>（</w:t>
            </w:r>
            <w:r>
              <w:rPr>
                <w:rFonts w:hint="eastAsia" w:ascii="宋体" w:hAnsi="宋体" w:eastAsia="宋体" w:cs="宋体"/>
                <w:b/>
                <w:color w:val="auto"/>
                <w:kern w:val="2"/>
                <w:sz w:val="28"/>
                <w:szCs w:val="28"/>
                <w:highlight w:val="none"/>
                <w:lang w:val="en-US" w:eastAsia="zh-CN"/>
              </w:rPr>
              <w:t>40分</w:t>
            </w:r>
            <w:r>
              <w:rPr>
                <w:rFonts w:hint="eastAsia" w:ascii="宋体" w:hAnsi="宋体" w:eastAsia="宋体" w:cs="宋体"/>
                <w:b/>
                <w:color w:val="auto"/>
                <w:kern w:val="2"/>
                <w:sz w:val="28"/>
                <w:szCs w:val="28"/>
                <w:highlight w:val="none"/>
                <w:lang w:eastAsia="zh-CN"/>
              </w:rPr>
              <w:t>）</w:t>
            </w:r>
          </w:p>
        </w:tc>
        <w:tc>
          <w:tcPr>
            <w:tcW w:w="2193" w:type="pct"/>
            <w:noWrap w:val="0"/>
            <w:vAlign w:val="center"/>
          </w:tcPr>
          <w:p w14:paraId="23BF85EC">
            <w:pPr>
              <w:keepNext w:val="0"/>
              <w:keepLines w:val="0"/>
              <w:pageBreakBefore w:val="0"/>
              <w:widowControl/>
              <w:kinsoku/>
              <w:wordWrap/>
              <w:overflowPunct/>
              <w:topLinePunct w:val="0"/>
              <w:autoSpaceDE/>
              <w:autoSpaceDN/>
              <w:bidi w:val="0"/>
              <w:adjustRightInd/>
              <w:snapToGrid/>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rPr>
              <w:t>道路</w:t>
            </w:r>
            <w:r>
              <w:rPr>
                <w:rFonts w:hint="eastAsia" w:ascii="宋体" w:hAnsi="宋体" w:eastAsia="宋体" w:cs="宋体"/>
                <w:color w:val="auto"/>
                <w:kern w:val="0"/>
                <w:sz w:val="28"/>
                <w:szCs w:val="28"/>
                <w:highlight w:val="none"/>
                <w:lang w:val="en-US" w:eastAsia="zh-CN"/>
              </w:rPr>
              <w:t>机械</w:t>
            </w:r>
            <w:r>
              <w:rPr>
                <w:rFonts w:hint="eastAsia" w:ascii="宋体" w:hAnsi="宋体" w:eastAsia="宋体" w:cs="宋体"/>
                <w:color w:val="auto"/>
                <w:kern w:val="0"/>
                <w:sz w:val="28"/>
                <w:szCs w:val="28"/>
                <w:highlight w:val="none"/>
              </w:rPr>
              <w:t>清扫、洒水时间要求：（1）清扫保洁：</w:t>
            </w:r>
            <w:r>
              <w:rPr>
                <w:rFonts w:hint="eastAsia" w:ascii="宋体" w:hAnsi="宋体" w:eastAsia="宋体" w:cs="宋体"/>
                <w:color w:val="auto"/>
                <w:kern w:val="0"/>
                <w:sz w:val="28"/>
                <w:szCs w:val="28"/>
                <w:highlight w:val="none"/>
                <w:lang w:eastAsia="zh-CN"/>
              </w:rPr>
              <w:t>一类区域保洁</w:t>
            </w:r>
            <w:r>
              <w:rPr>
                <w:rFonts w:hint="eastAsia" w:ascii="宋体" w:hAnsi="宋体" w:eastAsia="宋体" w:cs="宋体"/>
                <w:color w:val="auto"/>
                <w:kern w:val="0"/>
                <w:sz w:val="28"/>
                <w:szCs w:val="28"/>
                <w:highlight w:val="none"/>
              </w:rPr>
              <w:t>道路≥8小时/日，机械清扫频次≥2次/日</w:t>
            </w:r>
            <w:r>
              <w:rPr>
                <w:rFonts w:hint="eastAsia" w:ascii="宋体" w:hAnsi="宋体" w:eastAsia="宋体" w:cs="宋体"/>
                <w:color w:val="auto"/>
                <w:kern w:val="0"/>
                <w:sz w:val="28"/>
                <w:szCs w:val="28"/>
                <w:highlight w:val="none"/>
                <w:lang w:eastAsia="zh-CN"/>
              </w:rPr>
              <w:t>；二类区域保洁</w:t>
            </w:r>
            <w:r>
              <w:rPr>
                <w:rFonts w:hint="eastAsia" w:ascii="宋体" w:hAnsi="宋体" w:eastAsia="宋体" w:cs="宋体"/>
                <w:color w:val="auto"/>
                <w:kern w:val="0"/>
                <w:sz w:val="28"/>
                <w:szCs w:val="28"/>
                <w:highlight w:val="none"/>
              </w:rPr>
              <w:t>道路≥</w:t>
            </w:r>
            <w:r>
              <w:rPr>
                <w:rFonts w:hint="eastAsia" w:ascii="宋体" w:hAnsi="宋体" w:eastAsia="宋体" w:cs="宋体"/>
                <w:color w:val="auto"/>
                <w:kern w:val="0"/>
                <w:sz w:val="28"/>
                <w:szCs w:val="28"/>
                <w:highlight w:val="none"/>
                <w:lang w:val="en-US" w:eastAsia="zh-CN"/>
              </w:rPr>
              <w:t>8</w:t>
            </w:r>
            <w:r>
              <w:rPr>
                <w:rFonts w:hint="eastAsia" w:ascii="宋体" w:hAnsi="宋体" w:eastAsia="宋体" w:cs="宋体"/>
                <w:color w:val="auto"/>
                <w:kern w:val="0"/>
                <w:sz w:val="28"/>
                <w:szCs w:val="28"/>
                <w:highlight w:val="none"/>
              </w:rPr>
              <w:t>小时/日，机械清扫频次≥</w:t>
            </w:r>
            <w:r>
              <w:rPr>
                <w:rFonts w:hint="eastAsia" w:ascii="宋体" w:hAnsi="宋体" w:eastAsia="宋体" w:cs="宋体"/>
                <w:color w:val="auto"/>
                <w:kern w:val="0"/>
                <w:sz w:val="28"/>
                <w:szCs w:val="28"/>
                <w:highlight w:val="none"/>
                <w:lang w:val="en-US" w:eastAsia="zh-CN"/>
              </w:rPr>
              <w:t>1</w:t>
            </w:r>
            <w:r>
              <w:rPr>
                <w:rFonts w:hint="eastAsia" w:ascii="宋体" w:hAnsi="宋体" w:eastAsia="宋体" w:cs="宋体"/>
                <w:color w:val="auto"/>
                <w:kern w:val="0"/>
                <w:sz w:val="28"/>
                <w:szCs w:val="28"/>
                <w:highlight w:val="none"/>
              </w:rPr>
              <w:t>次/</w:t>
            </w: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rPr>
              <w:t>日。（2）洒水频次≥</w:t>
            </w: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rPr>
              <w:t>次/日，</w:t>
            </w:r>
            <w:r>
              <w:rPr>
                <w:rFonts w:hint="eastAsia" w:ascii="宋体" w:hAnsi="宋体" w:eastAsia="宋体" w:cs="宋体"/>
                <w:color w:val="auto"/>
                <w:kern w:val="2"/>
                <w:sz w:val="28"/>
                <w:szCs w:val="28"/>
                <w:highlight w:val="none"/>
              </w:rPr>
              <w:t>所有洗扫车必须带水作业，不得扬尘。</w:t>
            </w:r>
            <w:r>
              <w:rPr>
                <w:rFonts w:hint="eastAsia" w:ascii="宋体" w:hAnsi="宋体" w:eastAsia="宋体" w:cs="宋体"/>
                <w:color w:val="auto"/>
                <w:kern w:val="2"/>
                <w:sz w:val="28"/>
                <w:szCs w:val="28"/>
                <w:highlight w:val="none"/>
                <w:lang w:val="en-US" w:eastAsia="zh-CN"/>
              </w:rPr>
              <w:t>每天第一次机扫在6点前完成，人行道冲洗在8点前完成</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共5分</w:t>
            </w:r>
            <w:r>
              <w:rPr>
                <w:rFonts w:hint="eastAsia" w:ascii="宋体" w:hAnsi="宋体" w:eastAsia="宋体" w:cs="宋体"/>
                <w:color w:val="auto"/>
                <w:kern w:val="2"/>
                <w:sz w:val="28"/>
                <w:szCs w:val="28"/>
                <w:highlight w:val="none"/>
                <w:lang w:eastAsia="zh-CN"/>
              </w:rPr>
              <w:t>）</w:t>
            </w:r>
          </w:p>
        </w:tc>
        <w:tc>
          <w:tcPr>
            <w:tcW w:w="2286" w:type="pct"/>
            <w:noWrap w:val="0"/>
            <w:vAlign w:val="top"/>
          </w:tcPr>
          <w:p w14:paraId="512358A9">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rPr>
              <w:t>机扫车在规定时间内未完成清扫的，扣</w:t>
            </w:r>
            <w:r>
              <w:rPr>
                <w:rFonts w:hint="eastAsia" w:ascii="宋体" w:hAnsi="宋体" w:eastAsia="宋体" w:cs="宋体"/>
                <w:color w:val="auto"/>
                <w:kern w:val="2"/>
                <w:sz w:val="28"/>
                <w:szCs w:val="28"/>
                <w:highlight w:val="none"/>
                <w:lang w:val="en-US" w:eastAsia="zh-CN"/>
              </w:rPr>
              <w:t>1.5分</w:t>
            </w:r>
            <w:r>
              <w:rPr>
                <w:rFonts w:hint="eastAsia" w:ascii="宋体" w:hAnsi="宋体" w:eastAsia="宋体" w:cs="宋体"/>
                <w:color w:val="auto"/>
                <w:kern w:val="2"/>
                <w:sz w:val="28"/>
                <w:szCs w:val="28"/>
                <w:highlight w:val="none"/>
              </w:rPr>
              <w:t>。机扫车未清扫，扣</w:t>
            </w:r>
            <w:r>
              <w:rPr>
                <w:rFonts w:hint="eastAsia" w:ascii="宋体" w:hAnsi="宋体" w:eastAsia="宋体" w:cs="宋体"/>
                <w:color w:val="auto"/>
                <w:kern w:val="2"/>
                <w:sz w:val="28"/>
                <w:szCs w:val="28"/>
                <w:highlight w:val="none"/>
                <w:lang w:val="en-US" w:eastAsia="zh-CN"/>
              </w:rPr>
              <w:t>2.5</w:t>
            </w:r>
            <w:r>
              <w:rPr>
                <w:rFonts w:hint="eastAsia" w:ascii="宋体" w:hAnsi="宋体" w:eastAsia="宋体" w:cs="宋体"/>
                <w:color w:val="auto"/>
                <w:kern w:val="2"/>
                <w:sz w:val="28"/>
                <w:szCs w:val="28"/>
                <w:highlight w:val="none"/>
              </w:rPr>
              <w:t>分。洒水车在规定时间内未完成洒水</w:t>
            </w:r>
            <w:r>
              <w:rPr>
                <w:rFonts w:hint="eastAsia" w:ascii="宋体" w:hAnsi="宋体" w:eastAsia="宋体" w:cs="宋体"/>
                <w:color w:val="auto"/>
                <w:kern w:val="2"/>
                <w:sz w:val="28"/>
                <w:szCs w:val="28"/>
                <w:highlight w:val="none"/>
                <w:lang w:val="en-US" w:eastAsia="zh-CN"/>
              </w:rPr>
              <w:t xml:space="preserve">频次 </w:t>
            </w:r>
            <w:r>
              <w:rPr>
                <w:rFonts w:hint="eastAsia" w:ascii="宋体" w:hAnsi="宋体" w:eastAsia="宋体" w:cs="宋体"/>
                <w:color w:val="auto"/>
                <w:kern w:val="2"/>
                <w:sz w:val="28"/>
                <w:szCs w:val="28"/>
                <w:highlight w:val="none"/>
              </w:rPr>
              <w:t>，扣</w:t>
            </w:r>
            <w:r>
              <w:rPr>
                <w:rFonts w:hint="eastAsia" w:ascii="宋体" w:hAnsi="宋体" w:eastAsia="宋体" w:cs="宋体"/>
                <w:color w:val="auto"/>
                <w:kern w:val="2"/>
                <w:sz w:val="28"/>
                <w:szCs w:val="28"/>
                <w:highlight w:val="none"/>
                <w:lang w:val="en-US" w:eastAsia="zh-CN"/>
              </w:rPr>
              <w:t>1.5</w:t>
            </w:r>
            <w:r>
              <w:rPr>
                <w:rFonts w:hint="eastAsia" w:ascii="宋体" w:hAnsi="宋体" w:eastAsia="宋体" w:cs="宋体"/>
                <w:color w:val="auto"/>
                <w:kern w:val="2"/>
                <w:sz w:val="28"/>
                <w:szCs w:val="28"/>
                <w:highlight w:val="none"/>
              </w:rPr>
              <w:t>分。洒水车未洒水，扣</w:t>
            </w:r>
            <w:r>
              <w:rPr>
                <w:rFonts w:hint="eastAsia" w:ascii="宋体" w:hAnsi="宋体" w:eastAsia="宋体" w:cs="宋体"/>
                <w:color w:val="auto"/>
                <w:kern w:val="2"/>
                <w:sz w:val="28"/>
                <w:szCs w:val="28"/>
                <w:highlight w:val="none"/>
                <w:lang w:val="en-US" w:eastAsia="zh-CN"/>
              </w:rPr>
              <w:t>2.5</w:t>
            </w:r>
            <w:r>
              <w:rPr>
                <w:rFonts w:hint="eastAsia" w:ascii="宋体" w:hAnsi="宋体" w:eastAsia="宋体" w:cs="宋体"/>
                <w:color w:val="auto"/>
                <w:kern w:val="2"/>
                <w:sz w:val="28"/>
                <w:szCs w:val="28"/>
                <w:highlight w:val="none"/>
              </w:rPr>
              <w:t>分。</w:t>
            </w:r>
          </w:p>
        </w:tc>
      </w:tr>
      <w:tr w14:paraId="51146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trPr>
        <w:tc>
          <w:tcPr>
            <w:tcW w:w="519" w:type="pct"/>
            <w:vMerge w:val="continue"/>
            <w:noWrap w:val="0"/>
            <w:vAlign w:val="center"/>
          </w:tcPr>
          <w:p w14:paraId="6C692ACD">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rPr>
            </w:pPr>
          </w:p>
        </w:tc>
        <w:tc>
          <w:tcPr>
            <w:tcW w:w="2193" w:type="pct"/>
            <w:noWrap w:val="0"/>
            <w:vAlign w:val="center"/>
          </w:tcPr>
          <w:p w14:paraId="67EFC3B3">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rPr>
              <w:t>负责范围内果皮箱、公交站台</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路灯灯杆</w:t>
            </w:r>
            <w:r>
              <w:rPr>
                <w:rFonts w:hint="eastAsia" w:ascii="宋体" w:hAnsi="宋体" w:eastAsia="宋体" w:cs="宋体"/>
                <w:color w:val="auto"/>
                <w:kern w:val="2"/>
                <w:sz w:val="28"/>
                <w:szCs w:val="28"/>
                <w:highlight w:val="none"/>
              </w:rPr>
              <w:t>以及其他相关设施外立面清洁</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乱贴乱画等处理</w:t>
            </w:r>
            <w:r>
              <w:rPr>
                <w:rFonts w:hint="eastAsia" w:ascii="宋体" w:hAnsi="宋体" w:eastAsia="宋体" w:cs="宋体"/>
                <w:color w:val="auto"/>
                <w:kern w:val="2"/>
                <w:sz w:val="28"/>
                <w:szCs w:val="28"/>
                <w:highlight w:val="none"/>
              </w:rPr>
              <w:t>；</w:t>
            </w:r>
            <w:r>
              <w:rPr>
                <w:rFonts w:hint="eastAsia" w:ascii="宋体" w:hAnsi="宋体" w:eastAsia="宋体" w:cs="宋体"/>
                <w:color w:val="auto"/>
                <w:kern w:val="2"/>
                <w:sz w:val="28"/>
                <w:szCs w:val="28"/>
                <w:highlight w:val="none"/>
                <w:lang w:val="en-US" w:eastAsia="zh-CN"/>
              </w:rPr>
              <w:t>负责道路积水清除、扫雪除冰、非机动车排放等</w:t>
            </w:r>
            <w:r>
              <w:rPr>
                <w:rFonts w:hint="eastAsia" w:ascii="宋体" w:hAnsi="宋体" w:eastAsia="宋体" w:cs="宋体"/>
                <w:color w:val="auto"/>
                <w:kern w:val="2"/>
                <w:sz w:val="28"/>
                <w:szCs w:val="28"/>
                <w:highlight w:val="none"/>
              </w:rPr>
              <w:t>。</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5分</w:t>
            </w:r>
            <w:r>
              <w:rPr>
                <w:rFonts w:hint="eastAsia" w:ascii="宋体" w:hAnsi="宋体" w:eastAsia="宋体" w:cs="宋体"/>
                <w:color w:val="auto"/>
                <w:kern w:val="2"/>
                <w:sz w:val="28"/>
                <w:szCs w:val="28"/>
                <w:highlight w:val="none"/>
                <w:lang w:eastAsia="zh-CN"/>
              </w:rPr>
              <w:t>）</w:t>
            </w:r>
          </w:p>
        </w:tc>
        <w:tc>
          <w:tcPr>
            <w:tcW w:w="2286" w:type="pct"/>
            <w:noWrap w:val="0"/>
            <w:vAlign w:val="center"/>
          </w:tcPr>
          <w:p w14:paraId="36424B49">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相关设施外立面不干净，</w:t>
            </w:r>
            <w:r>
              <w:rPr>
                <w:rFonts w:hint="eastAsia" w:ascii="宋体" w:hAnsi="宋体" w:eastAsia="宋体" w:cs="宋体"/>
                <w:color w:val="auto"/>
                <w:kern w:val="2"/>
                <w:sz w:val="28"/>
                <w:szCs w:val="28"/>
                <w:highlight w:val="none"/>
              </w:rPr>
              <w:t>每1</w:t>
            </w:r>
            <w:r>
              <w:rPr>
                <w:rFonts w:hint="eastAsia" w:ascii="宋体" w:hAnsi="宋体" w:eastAsia="宋体" w:cs="宋体"/>
                <w:color w:val="auto"/>
                <w:kern w:val="2"/>
                <w:sz w:val="28"/>
                <w:szCs w:val="28"/>
                <w:highlight w:val="none"/>
                <w:lang w:val="en-US" w:eastAsia="zh-CN"/>
              </w:rPr>
              <w:t>处</w:t>
            </w:r>
            <w:r>
              <w:rPr>
                <w:rFonts w:hint="eastAsia" w:ascii="宋体" w:hAnsi="宋体" w:eastAsia="宋体" w:cs="宋体"/>
                <w:color w:val="auto"/>
                <w:kern w:val="2"/>
                <w:sz w:val="28"/>
                <w:szCs w:val="28"/>
                <w:highlight w:val="none"/>
              </w:rPr>
              <w:t>扣</w:t>
            </w:r>
            <w:r>
              <w:rPr>
                <w:rFonts w:hint="eastAsia" w:ascii="宋体" w:hAnsi="宋体" w:eastAsia="宋体" w:cs="宋体"/>
                <w:color w:val="auto"/>
                <w:kern w:val="2"/>
                <w:sz w:val="28"/>
                <w:szCs w:val="28"/>
                <w:highlight w:val="none"/>
                <w:lang w:val="en-US" w:eastAsia="zh-CN"/>
              </w:rPr>
              <w:t>0.3</w:t>
            </w:r>
            <w:r>
              <w:rPr>
                <w:rFonts w:hint="eastAsia" w:ascii="宋体" w:hAnsi="宋体" w:eastAsia="宋体" w:cs="宋体"/>
                <w:color w:val="auto"/>
                <w:kern w:val="2"/>
                <w:sz w:val="28"/>
                <w:szCs w:val="28"/>
                <w:highlight w:val="none"/>
              </w:rPr>
              <w:t>分</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存在乱贴乱画，每1处扣0.5分；非机动车排放不整齐，每1辆扣0.1分；未及时组织清理道路积水、积雪，每一处扣0.3分</w:t>
            </w:r>
            <w:r>
              <w:rPr>
                <w:rFonts w:hint="eastAsia" w:ascii="宋体" w:hAnsi="宋体" w:eastAsia="宋体" w:cs="宋体"/>
                <w:color w:val="auto"/>
                <w:kern w:val="2"/>
                <w:sz w:val="28"/>
                <w:szCs w:val="28"/>
                <w:highlight w:val="none"/>
              </w:rPr>
              <w:t>。</w:t>
            </w:r>
          </w:p>
        </w:tc>
      </w:tr>
      <w:tr w14:paraId="3916B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trPr>
        <w:tc>
          <w:tcPr>
            <w:tcW w:w="519" w:type="pct"/>
            <w:vMerge w:val="continue"/>
            <w:noWrap w:val="0"/>
            <w:vAlign w:val="center"/>
          </w:tcPr>
          <w:p w14:paraId="2BC0CB20">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rPr>
            </w:pPr>
          </w:p>
        </w:tc>
        <w:tc>
          <w:tcPr>
            <w:tcW w:w="2193" w:type="pct"/>
            <w:noWrap w:val="0"/>
            <w:vAlign w:val="center"/>
          </w:tcPr>
          <w:p w14:paraId="73401854">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lang w:val="en-US" w:eastAsia="zh-CN"/>
              </w:rPr>
              <w:t>机动车道、</w:t>
            </w:r>
            <w:r>
              <w:rPr>
                <w:rFonts w:hint="eastAsia" w:ascii="宋体" w:hAnsi="宋体" w:eastAsia="宋体" w:cs="宋体"/>
                <w:color w:val="auto"/>
                <w:kern w:val="2"/>
                <w:sz w:val="28"/>
                <w:szCs w:val="28"/>
                <w:highlight w:val="none"/>
              </w:rPr>
              <w:t>人行道</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绿化带、绿地</w:t>
            </w:r>
            <w:r>
              <w:rPr>
                <w:rFonts w:hint="eastAsia" w:ascii="宋体" w:hAnsi="宋体" w:eastAsia="宋体" w:cs="宋体"/>
                <w:color w:val="auto"/>
                <w:kern w:val="2"/>
                <w:sz w:val="28"/>
                <w:szCs w:val="28"/>
                <w:highlight w:val="none"/>
              </w:rPr>
              <w:t>不得有纸屑、烟头、</w:t>
            </w:r>
            <w:r>
              <w:rPr>
                <w:rFonts w:hint="eastAsia" w:ascii="宋体" w:hAnsi="宋体" w:eastAsia="宋体" w:cs="宋体"/>
                <w:color w:val="auto"/>
                <w:kern w:val="2"/>
                <w:sz w:val="28"/>
                <w:szCs w:val="28"/>
                <w:highlight w:val="none"/>
                <w:lang w:val="en-US" w:eastAsia="zh-CN"/>
              </w:rPr>
              <w:t>枯枝</w:t>
            </w:r>
            <w:r>
              <w:rPr>
                <w:rFonts w:hint="eastAsia" w:ascii="宋体" w:hAnsi="宋体" w:eastAsia="宋体" w:cs="宋体"/>
                <w:color w:val="auto"/>
                <w:kern w:val="2"/>
                <w:sz w:val="28"/>
                <w:szCs w:val="28"/>
                <w:highlight w:val="none"/>
              </w:rPr>
              <w:t>落叶、泥土</w:t>
            </w:r>
            <w:r>
              <w:rPr>
                <w:rFonts w:hint="eastAsia" w:ascii="宋体" w:hAnsi="宋体" w:eastAsia="宋体" w:cs="宋体"/>
                <w:color w:val="auto"/>
                <w:kern w:val="2"/>
                <w:sz w:val="28"/>
                <w:szCs w:val="28"/>
                <w:highlight w:val="none"/>
                <w:lang w:val="en-US" w:eastAsia="zh-CN"/>
              </w:rPr>
              <w:t>以及其他白色垃圾</w:t>
            </w:r>
            <w:r>
              <w:rPr>
                <w:rFonts w:hint="eastAsia" w:ascii="宋体" w:hAnsi="宋体" w:eastAsia="宋体" w:cs="宋体"/>
                <w:color w:val="auto"/>
                <w:kern w:val="2"/>
                <w:sz w:val="28"/>
                <w:szCs w:val="28"/>
                <w:highlight w:val="none"/>
              </w:rPr>
              <w:t>，人行道不得有杂草等杂物。</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15分</w:t>
            </w:r>
            <w:r>
              <w:rPr>
                <w:rFonts w:hint="eastAsia" w:ascii="宋体" w:hAnsi="宋体" w:eastAsia="宋体" w:cs="宋体"/>
                <w:color w:val="auto"/>
                <w:kern w:val="2"/>
                <w:sz w:val="28"/>
                <w:szCs w:val="28"/>
                <w:highlight w:val="none"/>
                <w:lang w:eastAsia="zh-CN"/>
              </w:rPr>
              <w:t>）</w:t>
            </w:r>
          </w:p>
        </w:tc>
        <w:tc>
          <w:tcPr>
            <w:tcW w:w="2286" w:type="pct"/>
            <w:noWrap w:val="0"/>
            <w:vAlign w:val="top"/>
          </w:tcPr>
          <w:p w14:paraId="635AC6EB">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每1</w:t>
            </w:r>
            <w:r>
              <w:rPr>
                <w:rFonts w:hint="eastAsia" w:ascii="宋体" w:hAnsi="宋体" w:eastAsia="宋体" w:cs="宋体"/>
                <w:color w:val="auto"/>
                <w:kern w:val="2"/>
                <w:sz w:val="28"/>
                <w:szCs w:val="28"/>
                <w:highlight w:val="none"/>
                <w:lang w:val="en-US" w:eastAsia="zh-CN"/>
              </w:rPr>
              <w:t>处</w:t>
            </w:r>
            <w:r>
              <w:rPr>
                <w:rFonts w:hint="eastAsia" w:ascii="宋体" w:hAnsi="宋体" w:eastAsia="宋体" w:cs="宋体"/>
                <w:color w:val="auto"/>
                <w:kern w:val="2"/>
                <w:sz w:val="28"/>
                <w:szCs w:val="28"/>
                <w:highlight w:val="none"/>
              </w:rPr>
              <w:t>烟头</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rPr>
              <w:t>纸屑、</w:t>
            </w:r>
            <w:r>
              <w:rPr>
                <w:rFonts w:hint="eastAsia" w:ascii="宋体" w:hAnsi="宋体" w:eastAsia="宋体" w:cs="宋体"/>
                <w:color w:val="auto"/>
                <w:kern w:val="2"/>
                <w:sz w:val="28"/>
                <w:szCs w:val="28"/>
                <w:highlight w:val="none"/>
                <w:lang w:val="en-US" w:eastAsia="zh-CN"/>
              </w:rPr>
              <w:t>枯枝</w:t>
            </w:r>
            <w:r>
              <w:rPr>
                <w:rFonts w:hint="eastAsia" w:ascii="宋体" w:hAnsi="宋体" w:eastAsia="宋体" w:cs="宋体"/>
                <w:color w:val="auto"/>
                <w:kern w:val="2"/>
                <w:sz w:val="28"/>
                <w:szCs w:val="28"/>
                <w:highlight w:val="none"/>
              </w:rPr>
              <w:t>落叶、泥土</w:t>
            </w:r>
            <w:r>
              <w:rPr>
                <w:rFonts w:hint="eastAsia" w:ascii="宋体" w:hAnsi="宋体" w:eastAsia="宋体" w:cs="宋体"/>
                <w:color w:val="auto"/>
                <w:kern w:val="2"/>
                <w:sz w:val="28"/>
                <w:szCs w:val="28"/>
                <w:highlight w:val="none"/>
                <w:lang w:val="en-US" w:eastAsia="zh-CN"/>
              </w:rPr>
              <w:t>、其他白色垃圾以及人行道杂草杂物扣0.1分</w:t>
            </w:r>
            <w:r>
              <w:rPr>
                <w:rFonts w:hint="eastAsia" w:ascii="宋体" w:hAnsi="宋体" w:eastAsia="宋体" w:cs="宋体"/>
                <w:color w:val="auto"/>
                <w:kern w:val="2"/>
                <w:sz w:val="28"/>
                <w:szCs w:val="28"/>
                <w:highlight w:val="none"/>
              </w:rPr>
              <w:t>，</w:t>
            </w:r>
            <w:r>
              <w:rPr>
                <w:rFonts w:hint="eastAsia" w:ascii="宋体" w:hAnsi="宋体" w:eastAsia="宋体" w:cs="宋体"/>
                <w:color w:val="auto"/>
                <w:kern w:val="2"/>
                <w:sz w:val="28"/>
                <w:szCs w:val="28"/>
                <w:highlight w:val="none"/>
                <w:lang w:val="en-US" w:eastAsia="zh-CN"/>
              </w:rPr>
              <w:t>路面、绿地有</w:t>
            </w:r>
            <w:r>
              <w:rPr>
                <w:rFonts w:hint="eastAsia" w:ascii="宋体" w:hAnsi="宋体" w:eastAsia="宋体" w:cs="宋体"/>
                <w:color w:val="auto"/>
                <w:kern w:val="2"/>
                <w:sz w:val="28"/>
                <w:szCs w:val="28"/>
                <w:highlight w:val="none"/>
              </w:rPr>
              <w:t>渣土、石子等，</w:t>
            </w:r>
            <w:r>
              <w:rPr>
                <w:rFonts w:hint="eastAsia" w:ascii="宋体" w:hAnsi="宋体" w:eastAsia="宋体" w:cs="宋体"/>
                <w:color w:val="auto"/>
                <w:kern w:val="2"/>
                <w:sz w:val="28"/>
                <w:szCs w:val="28"/>
                <w:highlight w:val="none"/>
                <w:lang w:val="en-US" w:eastAsia="zh-CN"/>
              </w:rPr>
              <w:t>面积&lt;1m</w:t>
            </w:r>
            <w:r>
              <w:rPr>
                <w:rFonts w:hint="eastAsia" w:ascii="宋体" w:hAnsi="宋体" w:eastAsia="宋体" w:cs="宋体"/>
                <w:color w:val="auto"/>
                <w:kern w:val="2"/>
                <w:sz w:val="28"/>
                <w:szCs w:val="28"/>
                <w:highlight w:val="none"/>
                <w:vertAlign w:val="superscript"/>
                <w:lang w:val="en-US" w:eastAsia="zh-CN"/>
              </w:rPr>
              <w:t>2</w:t>
            </w:r>
            <w:r>
              <w:rPr>
                <w:rFonts w:hint="eastAsia" w:ascii="宋体" w:hAnsi="宋体" w:eastAsia="宋体" w:cs="宋体"/>
                <w:color w:val="auto"/>
                <w:kern w:val="2"/>
                <w:sz w:val="28"/>
                <w:szCs w:val="28"/>
                <w:highlight w:val="none"/>
                <w:vertAlign w:val="baseline"/>
                <w:lang w:val="en-US" w:eastAsia="zh-CN"/>
              </w:rPr>
              <w:t>每处</w:t>
            </w:r>
            <w:r>
              <w:rPr>
                <w:rFonts w:hint="eastAsia" w:ascii="宋体" w:hAnsi="宋体" w:eastAsia="宋体" w:cs="宋体"/>
                <w:color w:val="auto"/>
                <w:kern w:val="2"/>
                <w:sz w:val="28"/>
                <w:szCs w:val="28"/>
                <w:highlight w:val="none"/>
              </w:rPr>
              <w:t>扣</w:t>
            </w:r>
            <w:r>
              <w:rPr>
                <w:rFonts w:hint="eastAsia" w:ascii="宋体" w:hAnsi="宋体" w:eastAsia="宋体" w:cs="宋体"/>
                <w:color w:val="auto"/>
                <w:kern w:val="2"/>
                <w:sz w:val="28"/>
                <w:szCs w:val="28"/>
                <w:highlight w:val="none"/>
                <w:lang w:val="en-US" w:eastAsia="zh-CN"/>
              </w:rPr>
              <w:t>1</w:t>
            </w:r>
            <w:r>
              <w:rPr>
                <w:rFonts w:hint="eastAsia" w:ascii="宋体" w:hAnsi="宋体" w:eastAsia="宋体" w:cs="宋体"/>
                <w:color w:val="auto"/>
                <w:kern w:val="2"/>
                <w:sz w:val="28"/>
                <w:szCs w:val="28"/>
                <w:highlight w:val="none"/>
              </w:rPr>
              <w:t>分</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面积&gt;1m</w:t>
            </w:r>
            <w:r>
              <w:rPr>
                <w:rFonts w:hint="eastAsia" w:ascii="宋体" w:hAnsi="宋体" w:eastAsia="宋体" w:cs="宋体"/>
                <w:color w:val="auto"/>
                <w:kern w:val="2"/>
                <w:sz w:val="28"/>
                <w:szCs w:val="28"/>
                <w:highlight w:val="none"/>
                <w:vertAlign w:val="superscript"/>
                <w:lang w:val="en-US" w:eastAsia="zh-CN"/>
              </w:rPr>
              <w:t>2</w:t>
            </w:r>
            <w:r>
              <w:rPr>
                <w:rFonts w:hint="eastAsia" w:ascii="宋体" w:hAnsi="宋体" w:eastAsia="宋体" w:cs="宋体"/>
                <w:color w:val="auto"/>
                <w:kern w:val="2"/>
                <w:sz w:val="28"/>
                <w:szCs w:val="28"/>
                <w:highlight w:val="none"/>
                <w:vertAlign w:val="baseline"/>
                <w:lang w:val="en-US" w:eastAsia="zh-CN"/>
              </w:rPr>
              <w:t>每处</w:t>
            </w:r>
            <w:r>
              <w:rPr>
                <w:rFonts w:hint="eastAsia" w:ascii="宋体" w:hAnsi="宋体" w:eastAsia="宋体" w:cs="宋体"/>
                <w:color w:val="auto"/>
                <w:kern w:val="2"/>
                <w:sz w:val="28"/>
                <w:szCs w:val="28"/>
                <w:highlight w:val="none"/>
              </w:rPr>
              <w:t>扣</w:t>
            </w:r>
            <w:r>
              <w:rPr>
                <w:rFonts w:hint="eastAsia" w:ascii="宋体" w:hAnsi="宋体" w:eastAsia="宋体" w:cs="宋体"/>
                <w:color w:val="auto"/>
                <w:kern w:val="2"/>
                <w:sz w:val="28"/>
                <w:szCs w:val="28"/>
                <w:highlight w:val="none"/>
                <w:lang w:val="en-US" w:eastAsia="zh-CN"/>
              </w:rPr>
              <w:t>2</w:t>
            </w:r>
            <w:r>
              <w:rPr>
                <w:rFonts w:hint="eastAsia" w:ascii="宋体" w:hAnsi="宋体" w:eastAsia="宋体" w:cs="宋体"/>
                <w:color w:val="auto"/>
                <w:kern w:val="2"/>
                <w:sz w:val="28"/>
                <w:szCs w:val="28"/>
                <w:highlight w:val="none"/>
              </w:rPr>
              <w:t>分。</w:t>
            </w:r>
          </w:p>
        </w:tc>
      </w:tr>
      <w:tr w14:paraId="37250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trPr>
        <w:tc>
          <w:tcPr>
            <w:tcW w:w="519" w:type="pct"/>
            <w:vMerge w:val="continue"/>
            <w:noWrap w:val="0"/>
            <w:vAlign w:val="center"/>
          </w:tcPr>
          <w:p w14:paraId="60545E29">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rPr>
            </w:pPr>
          </w:p>
        </w:tc>
        <w:tc>
          <w:tcPr>
            <w:tcW w:w="2193" w:type="pct"/>
            <w:noWrap w:val="0"/>
            <w:vAlign w:val="center"/>
          </w:tcPr>
          <w:p w14:paraId="7BB68BF4">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rPr>
              <w:t>清扫的垃圾及时清运</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日产日清，不得</w:t>
            </w:r>
            <w:r>
              <w:rPr>
                <w:rFonts w:hint="eastAsia" w:ascii="宋体" w:hAnsi="宋体" w:eastAsia="宋体" w:cs="宋体"/>
                <w:color w:val="auto"/>
                <w:kern w:val="2"/>
                <w:sz w:val="28"/>
                <w:szCs w:val="28"/>
                <w:highlight w:val="none"/>
              </w:rPr>
              <w:t>向绿化带</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低洼处</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周边空地及雨水篦子等地方</w:t>
            </w:r>
            <w:r>
              <w:rPr>
                <w:rFonts w:hint="eastAsia" w:ascii="宋体" w:hAnsi="宋体" w:eastAsia="宋体" w:cs="宋体"/>
                <w:color w:val="auto"/>
                <w:kern w:val="2"/>
                <w:sz w:val="28"/>
                <w:szCs w:val="28"/>
                <w:highlight w:val="none"/>
              </w:rPr>
              <w:t>倾倒垃圾。</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3分</w:t>
            </w:r>
            <w:r>
              <w:rPr>
                <w:rFonts w:hint="eastAsia" w:ascii="宋体" w:hAnsi="宋体" w:eastAsia="宋体" w:cs="宋体"/>
                <w:color w:val="auto"/>
                <w:kern w:val="2"/>
                <w:sz w:val="28"/>
                <w:szCs w:val="28"/>
                <w:highlight w:val="none"/>
                <w:lang w:eastAsia="zh-CN"/>
              </w:rPr>
              <w:t>）</w:t>
            </w:r>
          </w:p>
        </w:tc>
        <w:tc>
          <w:tcPr>
            <w:tcW w:w="2286" w:type="pct"/>
            <w:noWrap w:val="0"/>
            <w:vAlign w:val="center"/>
          </w:tcPr>
          <w:p w14:paraId="10B8C86D">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如发现一次，扣</w:t>
            </w:r>
            <w:r>
              <w:rPr>
                <w:rFonts w:hint="eastAsia" w:ascii="宋体" w:hAnsi="宋体" w:eastAsia="宋体" w:cs="宋体"/>
                <w:color w:val="auto"/>
                <w:kern w:val="2"/>
                <w:sz w:val="28"/>
                <w:szCs w:val="28"/>
                <w:highlight w:val="none"/>
                <w:lang w:val="en-US" w:eastAsia="zh-CN"/>
              </w:rPr>
              <w:t>2</w:t>
            </w:r>
            <w:r>
              <w:rPr>
                <w:rFonts w:hint="eastAsia" w:ascii="宋体" w:hAnsi="宋体" w:eastAsia="宋体" w:cs="宋体"/>
                <w:color w:val="auto"/>
                <w:kern w:val="2"/>
                <w:sz w:val="28"/>
                <w:szCs w:val="28"/>
                <w:highlight w:val="none"/>
              </w:rPr>
              <w:t>分。发现</w:t>
            </w:r>
            <w:r>
              <w:rPr>
                <w:rFonts w:hint="eastAsia" w:ascii="宋体" w:hAnsi="宋体" w:eastAsia="宋体" w:cs="宋体"/>
                <w:color w:val="auto"/>
                <w:kern w:val="2"/>
                <w:sz w:val="28"/>
                <w:szCs w:val="28"/>
                <w:highlight w:val="none"/>
                <w:lang w:val="en-US" w:eastAsia="zh-CN"/>
              </w:rPr>
              <w:t>2</w:t>
            </w:r>
            <w:r>
              <w:rPr>
                <w:rFonts w:hint="eastAsia" w:ascii="宋体" w:hAnsi="宋体" w:eastAsia="宋体" w:cs="宋体"/>
                <w:color w:val="auto"/>
                <w:kern w:val="2"/>
                <w:sz w:val="28"/>
                <w:szCs w:val="28"/>
                <w:highlight w:val="none"/>
              </w:rPr>
              <w:t>次</w:t>
            </w:r>
            <w:r>
              <w:rPr>
                <w:rFonts w:hint="eastAsia" w:ascii="宋体" w:hAnsi="宋体" w:eastAsia="宋体" w:cs="宋体"/>
                <w:color w:val="auto"/>
                <w:kern w:val="2"/>
                <w:sz w:val="28"/>
                <w:szCs w:val="28"/>
                <w:highlight w:val="none"/>
                <w:lang w:val="en-US" w:eastAsia="zh-CN"/>
              </w:rPr>
              <w:t>该项不得分</w:t>
            </w:r>
            <w:r>
              <w:rPr>
                <w:rFonts w:hint="eastAsia" w:ascii="宋体" w:hAnsi="宋体" w:eastAsia="宋体" w:cs="宋体"/>
                <w:color w:val="auto"/>
                <w:kern w:val="2"/>
                <w:sz w:val="28"/>
                <w:szCs w:val="28"/>
                <w:highlight w:val="none"/>
              </w:rPr>
              <w:t>。</w:t>
            </w:r>
          </w:p>
        </w:tc>
      </w:tr>
      <w:tr w14:paraId="764D1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trPr>
        <w:tc>
          <w:tcPr>
            <w:tcW w:w="519" w:type="pct"/>
            <w:vMerge w:val="continue"/>
            <w:noWrap w:val="0"/>
            <w:vAlign w:val="center"/>
          </w:tcPr>
          <w:p w14:paraId="46DC8965">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rPr>
            </w:pPr>
          </w:p>
        </w:tc>
        <w:tc>
          <w:tcPr>
            <w:tcW w:w="2193" w:type="pct"/>
            <w:noWrap w:val="0"/>
            <w:vAlign w:val="center"/>
          </w:tcPr>
          <w:p w14:paraId="0558A18C">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0"/>
                <w:sz w:val="28"/>
                <w:szCs w:val="28"/>
                <w:highlight w:val="none"/>
                <w:lang w:val="en-US" w:eastAsia="zh-CN"/>
              </w:rPr>
              <w:t>道路常规保洁实行路段保洁责任制，明确责任分工</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2.5分</w:t>
            </w:r>
            <w:r>
              <w:rPr>
                <w:rFonts w:hint="eastAsia" w:ascii="宋体" w:hAnsi="宋体" w:eastAsia="宋体" w:cs="宋体"/>
                <w:color w:val="auto"/>
                <w:kern w:val="0"/>
                <w:sz w:val="28"/>
                <w:szCs w:val="28"/>
                <w:highlight w:val="none"/>
                <w:lang w:eastAsia="zh-CN"/>
              </w:rPr>
              <w:t>）</w:t>
            </w:r>
          </w:p>
        </w:tc>
        <w:tc>
          <w:tcPr>
            <w:tcW w:w="2286" w:type="pct"/>
            <w:noWrap w:val="0"/>
            <w:vAlign w:val="center"/>
          </w:tcPr>
          <w:p w14:paraId="3319BFF5">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lang w:val="en-US" w:eastAsia="zh-CN"/>
              </w:rPr>
              <w:t>分工不明确影响保洁成效的酌情扣分</w:t>
            </w:r>
          </w:p>
        </w:tc>
      </w:tr>
      <w:tr w14:paraId="7429D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trPr>
        <w:tc>
          <w:tcPr>
            <w:tcW w:w="519" w:type="pct"/>
            <w:vMerge w:val="continue"/>
            <w:noWrap w:val="0"/>
            <w:vAlign w:val="center"/>
          </w:tcPr>
          <w:p w14:paraId="7AE92DDB">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rPr>
            </w:pPr>
          </w:p>
        </w:tc>
        <w:tc>
          <w:tcPr>
            <w:tcW w:w="2193" w:type="pct"/>
            <w:noWrap w:val="0"/>
            <w:vAlign w:val="center"/>
          </w:tcPr>
          <w:p w14:paraId="245D1EC6">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rPr>
              <w:t>清洗污染较为严重的路面时</w:t>
            </w:r>
            <w:r>
              <w:rPr>
                <w:rFonts w:hint="eastAsia" w:ascii="宋体" w:hAnsi="宋体" w:eastAsia="宋体" w:cs="宋体"/>
                <w:color w:val="auto"/>
                <w:kern w:val="0"/>
                <w:sz w:val="28"/>
                <w:szCs w:val="28"/>
                <w:highlight w:val="none"/>
                <w:lang w:val="en-US" w:eastAsia="zh-CN"/>
              </w:rPr>
              <w:t>要</w:t>
            </w:r>
            <w:r>
              <w:rPr>
                <w:rFonts w:hint="eastAsia" w:ascii="宋体" w:hAnsi="宋体" w:eastAsia="宋体" w:cs="宋体"/>
                <w:color w:val="auto"/>
                <w:kern w:val="0"/>
                <w:sz w:val="28"/>
                <w:szCs w:val="28"/>
                <w:highlight w:val="none"/>
              </w:rPr>
              <w:t>反复冲洗，直至路面见本色</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2.5分</w:t>
            </w:r>
            <w:r>
              <w:rPr>
                <w:rFonts w:hint="eastAsia" w:ascii="宋体" w:hAnsi="宋体" w:eastAsia="宋体" w:cs="宋体"/>
                <w:color w:val="auto"/>
                <w:kern w:val="0"/>
                <w:sz w:val="28"/>
                <w:szCs w:val="28"/>
                <w:highlight w:val="none"/>
                <w:lang w:eastAsia="zh-CN"/>
              </w:rPr>
              <w:t>）</w:t>
            </w:r>
          </w:p>
        </w:tc>
        <w:tc>
          <w:tcPr>
            <w:tcW w:w="2286" w:type="pct"/>
            <w:noWrap w:val="0"/>
            <w:vAlign w:val="center"/>
          </w:tcPr>
          <w:p w14:paraId="3476923A">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路面不见本色</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1处扣0.5分</w:t>
            </w:r>
          </w:p>
        </w:tc>
      </w:tr>
      <w:tr w14:paraId="7EDDD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0" w:hRule="atLeast"/>
        </w:trPr>
        <w:tc>
          <w:tcPr>
            <w:tcW w:w="519" w:type="pct"/>
            <w:vMerge w:val="continue"/>
            <w:noWrap w:val="0"/>
            <w:vAlign w:val="center"/>
          </w:tcPr>
          <w:p w14:paraId="0E57D712">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rPr>
            </w:pPr>
          </w:p>
        </w:tc>
        <w:tc>
          <w:tcPr>
            <w:tcW w:w="2193" w:type="pct"/>
            <w:noWrap w:val="0"/>
            <w:vAlign w:val="center"/>
          </w:tcPr>
          <w:p w14:paraId="24E0213E">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一类保洁道路在8点-9点间必须保持路面湿润（1分）</w:t>
            </w:r>
          </w:p>
        </w:tc>
        <w:tc>
          <w:tcPr>
            <w:tcW w:w="2286" w:type="pct"/>
            <w:noWrap w:val="0"/>
            <w:vAlign w:val="center"/>
          </w:tcPr>
          <w:p w14:paraId="342EFE6D">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1条道路不湿润，扣0.5分；2条道路不湿润该项不得分</w:t>
            </w:r>
          </w:p>
        </w:tc>
      </w:tr>
      <w:tr w14:paraId="3070E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1" w:hRule="atLeast"/>
        </w:trPr>
        <w:tc>
          <w:tcPr>
            <w:tcW w:w="519" w:type="pct"/>
            <w:vMerge w:val="continue"/>
            <w:noWrap w:val="0"/>
            <w:vAlign w:val="center"/>
          </w:tcPr>
          <w:p w14:paraId="0F12CE48">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rPr>
            </w:pPr>
          </w:p>
        </w:tc>
        <w:tc>
          <w:tcPr>
            <w:tcW w:w="2193" w:type="pct"/>
            <w:noWrap w:val="0"/>
            <w:vAlign w:val="center"/>
          </w:tcPr>
          <w:p w14:paraId="59A32006">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rPr>
              <w:t>如道路中分带或侧分带有护栏的，必须</w:t>
            </w:r>
            <w:r>
              <w:rPr>
                <w:rFonts w:hint="eastAsia" w:ascii="宋体" w:hAnsi="宋体" w:eastAsia="宋体" w:cs="宋体"/>
                <w:color w:val="auto"/>
                <w:kern w:val="2"/>
                <w:sz w:val="28"/>
                <w:szCs w:val="28"/>
                <w:highlight w:val="none"/>
                <w:lang w:val="en-US" w:eastAsia="zh-CN"/>
              </w:rPr>
              <w:t>每10天</w:t>
            </w:r>
            <w:r>
              <w:rPr>
                <w:rFonts w:hint="eastAsia" w:ascii="宋体" w:hAnsi="宋体" w:eastAsia="宋体" w:cs="宋体"/>
                <w:color w:val="auto"/>
                <w:kern w:val="2"/>
                <w:sz w:val="28"/>
                <w:szCs w:val="28"/>
                <w:highlight w:val="none"/>
              </w:rPr>
              <w:t>清洗</w:t>
            </w:r>
            <w:r>
              <w:rPr>
                <w:rFonts w:hint="eastAsia" w:ascii="宋体" w:hAnsi="宋体" w:eastAsia="宋体" w:cs="宋体"/>
                <w:color w:val="auto"/>
                <w:kern w:val="2"/>
                <w:sz w:val="28"/>
                <w:szCs w:val="28"/>
                <w:highlight w:val="none"/>
                <w:lang w:val="en-US" w:eastAsia="zh-CN"/>
              </w:rPr>
              <w:t>1次</w:t>
            </w:r>
            <w:r>
              <w:rPr>
                <w:rFonts w:hint="eastAsia" w:ascii="宋体" w:hAnsi="宋体" w:eastAsia="宋体" w:cs="宋体"/>
                <w:color w:val="auto"/>
                <w:kern w:val="2"/>
                <w:sz w:val="28"/>
                <w:szCs w:val="28"/>
                <w:highlight w:val="none"/>
              </w:rPr>
              <w:t>。</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1分</w:t>
            </w:r>
            <w:r>
              <w:rPr>
                <w:rFonts w:hint="eastAsia" w:ascii="宋体" w:hAnsi="宋体" w:eastAsia="宋体" w:cs="宋体"/>
                <w:color w:val="auto"/>
                <w:kern w:val="2"/>
                <w:sz w:val="28"/>
                <w:szCs w:val="28"/>
                <w:highlight w:val="none"/>
                <w:lang w:eastAsia="zh-CN"/>
              </w:rPr>
              <w:t>）</w:t>
            </w:r>
          </w:p>
        </w:tc>
        <w:tc>
          <w:tcPr>
            <w:tcW w:w="2286" w:type="pct"/>
            <w:noWrap w:val="0"/>
            <w:vAlign w:val="center"/>
          </w:tcPr>
          <w:p w14:paraId="00A3FF86">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如未清洗的路段，有</w:t>
            </w:r>
            <w:r>
              <w:rPr>
                <w:rFonts w:hint="eastAsia" w:ascii="宋体" w:hAnsi="宋体" w:eastAsia="宋体" w:cs="宋体"/>
                <w:color w:val="auto"/>
                <w:kern w:val="2"/>
                <w:sz w:val="28"/>
                <w:szCs w:val="28"/>
                <w:highlight w:val="none"/>
                <w:lang w:val="en-US" w:eastAsia="zh-CN"/>
              </w:rPr>
              <w:t>1</w:t>
            </w:r>
            <w:r>
              <w:rPr>
                <w:rFonts w:hint="eastAsia" w:ascii="宋体" w:hAnsi="宋体" w:eastAsia="宋体" w:cs="宋体"/>
                <w:color w:val="auto"/>
                <w:kern w:val="2"/>
                <w:sz w:val="28"/>
                <w:szCs w:val="28"/>
                <w:highlight w:val="none"/>
              </w:rPr>
              <w:t>段扣</w:t>
            </w:r>
            <w:r>
              <w:rPr>
                <w:rFonts w:hint="eastAsia" w:ascii="宋体" w:hAnsi="宋体" w:eastAsia="宋体" w:cs="宋体"/>
                <w:color w:val="auto"/>
                <w:kern w:val="2"/>
                <w:sz w:val="28"/>
                <w:szCs w:val="28"/>
                <w:highlight w:val="none"/>
                <w:lang w:val="en-US" w:eastAsia="zh-CN"/>
              </w:rPr>
              <w:t>0.5</w:t>
            </w:r>
            <w:r>
              <w:rPr>
                <w:rFonts w:hint="eastAsia" w:ascii="宋体" w:hAnsi="宋体" w:eastAsia="宋体" w:cs="宋体"/>
                <w:color w:val="auto"/>
                <w:kern w:val="2"/>
                <w:sz w:val="28"/>
                <w:szCs w:val="28"/>
                <w:highlight w:val="none"/>
              </w:rPr>
              <w:t>分。</w:t>
            </w:r>
          </w:p>
        </w:tc>
      </w:tr>
      <w:tr w14:paraId="57931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1" w:hRule="atLeast"/>
        </w:trPr>
        <w:tc>
          <w:tcPr>
            <w:tcW w:w="519" w:type="pct"/>
            <w:vMerge w:val="continue"/>
            <w:noWrap w:val="0"/>
            <w:vAlign w:val="center"/>
          </w:tcPr>
          <w:p w14:paraId="7D79B7A2">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rPr>
            </w:pPr>
          </w:p>
        </w:tc>
        <w:tc>
          <w:tcPr>
            <w:tcW w:w="2193" w:type="pct"/>
            <w:noWrap w:val="0"/>
            <w:vAlign w:val="center"/>
          </w:tcPr>
          <w:p w14:paraId="577275A8">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rPr>
              <w:t>保洁人员如发现路面上有小广告，或是未凝固的混凝土</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rPr>
              <w:t>必须在发现后清理掉。</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2.5分</w:t>
            </w:r>
            <w:r>
              <w:rPr>
                <w:rFonts w:hint="eastAsia" w:ascii="宋体" w:hAnsi="宋体" w:eastAsia="宋体" w:cs="宋体"/>
                <w:color w:val="auto"/>
                <w:kern w:val="2"/>
                <w:sz w:val="28"/>
                <w:szCs w:val="28"/>
                <w:highlight w:val="none"/>
                <w:lang w:eastAsia="zh-CN"/>
              </w:rPr>
              <w:t>）</w:t>
            </w:r>
          </w:p>
        </w:tc>
        <w:tc>
          <w:tcPr>
            <w:tcW w:w="2286" w:type="pct"/>
            <w:noWrap w:val="0"/>
            <w:vAlign w:val="center"/>
          </w:tcPr>
          <w:p w14:paraId="02B5A099">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如未</w:t>
            </w:r>
            <w:r>
              <w:rPr>
                <w:rFonts w:hint="eastAsia" w:ascii="宋体" w:hAnsi="宋体" w:eastAsia="宋体" w:cs="宋体"/>
                <w:color w:val="auto"/>
                <w:kern w:val="2"/>
                <w:sz w:val="28"/>
                <w:szCs w:val="28"/>
                <w:highlight w:val="none"/>
                <w:lang w:val="en-US" w:eastAsia="zh-CN"/>
              </w:rPr>
              <w:t>及时</w:t>
            </w:r>
            <w:r>
              <w:rPr>
                <w:rFonts w:hint="eastAsia" w:ascii="宋体" w:hAnsi="宋体" w:eastAsia="宋体" w:cs="宋体"/>
                <w:color w:val="auto"/>
                <w:kern w:val="2"/>
                <w:sz w:val="28"/>
                <w:szCs w:val="28"/>
                <w:highlight w:val="none"/>
              </w:rPr>
              <w:t>清理的。发现</w:t>
            </w:r>
            <w:r>
              <w:rPr>
                <w:rFonts w:hint="eastAsia" w:ascii="宋体" w:hAnsi="宋体" w:eastAsia="宋体" w:cs="宋体"/>
                <w:color w:val="auto"/>
                <w:kern w:val="2"/>
                <w:sz w:val="28"/>
                <w:szCs w:val="28"/>
                <w:highlight w:val="none"/>
                <w:lang w:val="en-US" w:eastAsia="zh-CN"/>
              </w:rPr>
              <w:t>1</w:t>
            </w:r>
            <w:r>
              <w:rPr>
                <w:rFonts w:hint="eastAsia" w:ascii="宋体" w:hAnsi="宋体" w:eastAsia="宋体" w:cs="宋体"/>
                <w:color w:val="auto"/>
                <w:kern w:val="2"/>
                <w:sz w:val="28"/>
                <w:szCs w:val="28"/>
                <w:highlight w:val="none"/>
              </w:rPr>
              <w:t>处扣</w:t>
            </w:r>
            <w:r>
              <w:rPr>
                <w:rFonts w:hint="eastAsia" w:ascii="宋体" w:hAnsi="宋体" w:eastAsia="宋体" w:cs="宋体"/>
                <w:color w:val="auto"/>
                <w:kern w:val="2"/>
                <w:sz w:val="28"/>
                <w:szCs w:val="28"/>
                <w:highlight w:val="none"/>
                <w:lang w:val="en-US" w:eastAsia="zh-CN"/>
              </w:rPr>
              <w:t>0.5</w:t>
            </w:r>
            <w:r>
              <w:rPr>
                <w:rFonts w:hint="eastAsia" w:ascii="宋体" w:hAnsi="宋体" w:eastAsia="宋体" w:cs="宋体"/>
                <w:color w:val="auto"/>
                <w:kern w:val="2"/>
                <w:sz w:val="28"/>
                <w:szCs w:val="28"/>
                <w:highlight w:val="none"/>
              </w:rPr>
              <w:t>分。</w:t>
            </w:r>
          </w:p>
        </w:tc>
      </w:tr>
      <w:tr w14:paraId="31636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5" w:hRule="atLeast"/>
        </w:trPr>
        <w:tc>
          <w:tcPr>
            <w:tcW w:w="519" w:type="pct"/>
            <w:vMerge w:val="continue"/>
            <w:noWrap w:val="0"/>
            <w:vAlign w:val="center"/>
          </w:tcPr>
          <w:p w14:paraId="20C21F3E">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rPr>
            </w:pPr>
          </w:p>
        </w:tc>
        <w:tc>
          <w:tcPr>
            <w:tcW w:w="2193" w:type="pct"/>
            <w:noWrap w:val="0"/>
            <w:vAlign w:val="center"/>
          </w:tcPr>
          <w:p w14:paraId="03BEDABA">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积极配合涉及的重大活动和检查保障，加强保洁强度（2.5分）</w:t>
            </w:r>
          </w:p>
        </w:tc>
        <w:tc>
          <w:tcPr>
            <w:tcW w:w="2286" w:type="pct"/>
            <w:noWrap w:val="0"/>
            <w:vAlign w:val="center"/>
          </w:tcPr>
          <w:p w14:paraId="04402248">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未加强保洁强度和频次酌情扣分</w:t>
            </w:r>
            <w:r>
              <w:rPr>
                <w:rFonts w:hint="eastAsia" w:ascii="宋体" w:hAnsi="宋体" w:eastAsia="宋体" w:cs="宋体"/>
                <w:color w:val="auto"/>
                <w:kern w:val="2"/>
                <w:sz w:val="28"/>
                <w:szCs w:val="28"/>
                <w:highlight w:val="none"/>
              </w:rPr>
              <w:t>。</w:t>
            </w:r>
          </w:p>
        </w:tc>
      </w:tr>
      <w:tr w14:paraId="4559F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6" w:hRule="atLeast"/>
        </w:trPr>
        <w:tc>
          <w:tcPr>
            <w:tcW w:w="519" w:type="pct"/>
            <w:vMerge w:val="restart"/>
            <w:noWrap w:val="0"/>
            <w:vAlign w:val="center"/>
          </w:tcPr>
          <w:p w14:paraId="2C247154">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color w:val="auto"/>
                <w:kern w:val="2"/>
                <w:sz w:val="28"/>
                <w:szCs w:val="28"/>
                <w:highlight w:val="none"/>
                <w:lang w:val="en-US" w:eastAsia="zh-CN"/>
              </w:rPr>
            </w:pPr>
            <w:r>
              <w:rPr>
                <w:rFonts w:hint="eastAsia" w:ascii="宋体" w:hAnsi="宋体" w:eastAsia="宋体" w:cs="宋体"/>
                <w:b/>
                <w:color w:val="auto"/>
                <w:kern w:val="2"/>
                <w:sz w:val="28"/>
                <w:szCs w:val="28"/>
                <w:highlight w:val="none"/>
                <w:lang w:val="en-US" w:eastAsia="zh-CN"/>
              </w:rPr>
              <w:t>日常</w:t>
            </w:r>
          </w:p>
          <w:p w14:paraId="39D97F20">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color w:val="auto"/>
                <w:kern w:val="2"/>
                <w:sz w:val="28"/>
                <w:szCs w:val="28"/>
                <w:highlight w:val="none"/>
                <w:lang w:eastAsia="zh-CN"/>
              </w:rPr>
            </w:pPr>
            <w:r>
              <w:rPr>
                <w:rFonts w:hint="eastAsia" w:ascii="宋体" w:hAnsi="宋体" w:eastAsia="宋体" w:cs="宋体"/>
                <w:b/>
                <w:color w:val="auto"/>
                <w:kern w:val="2"/>
                <w:sz w:val="28"/>
                <w:szCs w:val="28"/>
                <w:highlight w:val="none"/>
                <w:lang w:val="en-US" w:eastAsia="zh-CN"/>
              </w:rPr>
              <w:t xml:space="preserve">管理   </w:t>
            </w:r>
            <w:r>
              <w:rPr>
                <w:rFonts w:hint="eastAsia" w:ascii="宋体" w:hAnsi="宋体" w:eastAsia="宋体" w:cs="宋体"/>
                <w:b/>
                <w:color w:val="auto"/>
                <w:kern w:val="2"/>
                <w:sz w:val="28"/>
                <w:szCs w:val="28"/>
                <w:highlight w:val="none"/>
                <w:lang w:eastAsia="zh-CN"/>
              </w:rPr>
              <w:t>（</w:t>
            </w:r>
            <w:r>
              <w:rPr>
                <w:rFonts w:hint="eastAsia" w:ascii="宋体" w:hAnsi="宋体" w:eastAsia="宋体" w:cs="宋体"/>
                <w:b/>
                <w:color w:val="auto"/>
                <w:kern w:val="2"/>
                <w:sz w:val="28"/>
                <w:szCs w:val="28"/>
                <w:highlight w:val="none"/>
                <w:lang w:val="en-US" w:eastAsia="zh-CN"/>
              </w:rPr>
              <w:t>10分</w:t>
            </w:r>
            <w:r>
              <w:rPr>
                <w:rFonts w:hint="eastAsia" w:ascii="宋体" w:hAnsi="宋体" w:eastAsia="宋体" w:cs="宋体"/>
                <w:b/>
                <w:color w:val="auto"/>
                <w:kern w:val="2"/>
                <w:sz w:val="28"/>
                <w:szCs w:val="28"/>
                <w:highlight w:val="none"/>
                <w:lang w:eastAsia="zh-CN"/>
              </w:rPr>
              <w:t>）</w:t>
            </w:r>
          </w:p>
        </w:tc>
        <w:tc>
          <w:tcPr>
            <w:tcW w:w="2193" w:type="pct"/>
            <w:noWrap w:val="0"/>
            <w:vAlign w:val="center"/>
          </w:tcPr>
          <w:p w14:paraId="034E472E">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lang w:val="en-US" w:eastAsia="zh-CN"/>
              </w:rPr>
            </w:pPr>
            <w:r>
              <w:rPr>
                <w:rFonts w:hint="eastAsia" w:ascii="宋体" w:hAnsi="宋体" w:eastAsia="宋体" w:cs="宋体"/>
                <w:b w:val="0"/>
                <w:bCs w:val="0"/>
                <w:color w:val="auto"/>
                <w:kern w:val="2"/>
                <w:sz w:val="28"/>
                <w:szCs w:val="28"/>
                <w:highlight w:val="none"/>
              </w:rPr>
              <w:t>出勤准时，不迟到、早退及不旷工</w:t>
            </w:r>
            <w:r>
              <w:rPr>
                <w:rFonts w:hint="eastAsia" w:ascii="宋体" w:hAnsi="宋体" w:eastAsia="宋体" w:cs="宋体"/>
                <w:b w:val="0"/>
                <w:bCs w:val="0"/>
                <w:color w:val="auto"/>
                <w:kern w:val="2"/>
                <w:sz w:val="28"/>
                <w:szCs w:val="28"/>
                <w:highlight w:val="none"/>
                <w:lang w:eastAsia="zh-CN"/>
              </w:rPr>
              <w:t>。</w:t>
            </w:r>
            <w:r>
              <w:rPr>
                <w:rFonts w:hint="eastAsia" w:ascii="宋体" w:hAnsi="宋体" w:eastAsia="宋体" w:cs="宋体"/>
                <w:b w:val="0"/>
                <w:bCs w:val="0"/>
                <w:color w:val="auto"/>
                <w:kern w:val="2"/>
                <w:sz w:val="28"/>
                <w:szCs w:val="28"/>
                <w:highlight w:val="none"/>
                <w:lang w:val="en-US" w:eastAsia="zh-CN"/>
              </w:rPr>
              <w:t>每天点位上点名打卡拍照上传管理群。</w:t>
            </w:r>
          </w:p>
        </w:tc>
        <w:tc>
          <w:tcPr>
            <w:tcW w:w="2286" w:type="pct"/>
            <w:noWrap w:val="0"/>
            <w:vAlign w:val="center"/>
          </w:tcPr>
          <w:p w14:paraId="2B3BC19E">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迟到、早退每出现1人扣30元，每缺1人扣80元。（此项累积计算，在当月服务费中直接扣减。）</w:t>
            </w:r>
          </w:p>
        </w:tc>
      </w:tr>
      <w:tr w14:paraId="09881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519" w:type="pct"/>
            <w:vMerge w:val="continue"/>
            <w:noWrap w:val="0"/>
            <w:vAlign w:val="center"/>
          </w:tcPr>
          <w:p w14:paraId="1512CDD3">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color w:val="auto"/>
                <w:kern w:val="2"/>
                <w:sz w:val="28"/>
                <w:szCs w:val="28"/>
                <w:highlight w:val="none"/>
              </w:rPr>
            </w:pPr>
          </w:p>
        </w:tc>
        <w:tc>
          <w:tcPr>
            <w:tcW w:w="2193" w:type="pct"/>
            <w:noWrap w:val="0"/>
            <w:vAlign w:val="center"/>
          </w:tcPr>
          <w:p w14:paraId="2557211B">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lang w:val="en-US" w:eastAsia="zh-CN"/>
              </w:rPr>
              <w:t>妥善处理</w:t>
            </w:r>
            <w:r>
              <w:rPr>
                <w:rFonts w:hint="eastAsia" w:ascii="宋体" w:hAnsi="宋体" w:eastAsia="宋体" w:cs="宋体"/>
                <w:color w:val="auto"/>
                <w:kern w:val="2"/>
                <w:sz w:val="28"/>
                <w:szCs w:val="28"/>
                <w:highlight w:val="none"/>
              </w:rPr>
              <w:t>曝光投诉（市民举报投诉、12345投诉、市长信箱等）</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1.5分</w:t>
            </w:r>
            <w:r>
              <w:rPr>
                <w:rFonts w:hint="eastAsia" w:ascii="宋体" w:hAnsi="宋体" w:eastAsia="宋体" w:cs="宋体"/>
                <w:color w:val="auto"/>
                <w:kern w:val="2"/>
                <w:sz w:val="28"/>
                <w:szCs w:val="28"/>
                <w:highlight w:val="none"/>
                <w:lang w:eastAsia="zh-CN"/>
              </w:rPr>
              <w:t>）</w:t>
            </w:r>
          </w:p>
        </w:tc>
        <w:tc>
          <w:tcPr>
            <w:tcW w:w="2286" w:type="pct"/>
            <w:noWrap w:val="0"/>
            <w:vAlign w:val="center"/>
          </w:tcPr>
          <w:p w14:paraId="11E96F42">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有一次</w:t>
            </w:r>
            <w:r>
              <w:rPr>
                <w:rFonts w:hint="eastAsia" w:ascii="宋体" w:hAnsi="宋体" w:eastAsia="宋体" w:cs="宋体"/>
                <w:color w:val="auto"/>
                <w:kern w:val="2"/>
                <w:sz w:val="28"/>
                <w:szCs w:val="28"/>
                <w:highlight w:val="none"/>
                <w:lang w:val="en-US" w:eastAsia="zh-CN"/>
              </w:rPr>
              <w:t>投诉</w:t>
            </w:r>
            <w:r>
              <w:rPr>
                <w:rFonts w:hint="eastAsia" w:ascii="宋体" w:hAnsi="宋体" w:eastAsia="宋体" w:cs="宋体"/>
                <w:color w:val="auto"/>
                <w:kern w:val="2"/>
                <w:sz w:val="28"/>
                <w:szCs w:val="28"/>
                <w:highlight w:val="none"/>
              </w:rPr>
              <w:t>扣</w:t>
            </w:r>
            <w:r>
              <w:rPr>
                <w:rFonts w:hint="eastAsia" w:ascii="宋体" w:hAnsi="宋体" w:eastAsia="宋体" w:cs="宋体"/>
                <w:color w:val="auto"/>
                <w:kern w:val="2"/>
                <w:sz w:val="28"/>
                <w:szCs w:val="28"/>
                <w:highlight w:val="none"/>
                <w:lang w:val="en-US" w:eastAsia="zh-CN"/>
              </w:rPr>
              <w:t>0.5</w:t>
            </w:r>
            <w:r>
              <w:rPr>
                <w:rFonts w:hint="eastAsia" w:ascii="宋体" w:hAnsi="宋体" w:eastAsia="宋体" w:cs="宋体"/>
                <w:color w:val="auto"/>
                <w:kern w:val="2"/>
                <w:sz w:val="28"/>
                <w:szCs w:val="28"/>
                <w:highlight w:val="none"/>
              </w:rPr>
              <w:t>分</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未妥善处理扣1.5分</w:t>
            </w:r>
            <w:r>
              <w:rPr>
                <w:rFonts w:hint="eastAsia" w:ascii="宋体" w:hAnsi="宋体" w:eastAsia="宋体" w:cs="宋体"/>
                <w:color w:val="auto"/>
                <w:kern w:val="2"/>
                <w:sz w:val="28"/>
                <w:szCs w:val="28"/>
                <w:highlight w:val="none"/>
              </w:rPr>
              <w:t>。</w:t>
            </w:r>
          </w:p>
        </w:tc>
      </w:tr>
      <w:tr w14:paraId="6417D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519" w:type="pct"/>
            <w:vMerge w:val="continue"/>
            <w:noWrap w:val="0"/>
            <w:vAlign w:val="center"/>
          </w:tcPr>
          <w:p w14:paraId="2F15FC0A">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rPr>
            </w:pPr>
          </w:p>
        </w:tc>
        <w:tc>
          <w:tcPr>
            <w:tcW w:w="2193" w:type="pct"/>
            <w:noWrap w:val="0"/>
            <w:vAlign w:val="center"/>
          </w:tcPr>
          <w:p w14:paraId="24F47696">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lang w:val="en-US" w:eastAsia="zh-CN"/>
              </w:rPr>
            </w:pPr>
            <w:r>
              <w:rPr>
                <w:rFonts w:hint="eastAsia" w:ascii="宋体" w:hAnsi="宋体" w:eastAsia="宋体" w:cs="宋体"/>
                <w:b w:val="0"/>
                <w:bCs w:val="0"/>
                <w:color w:val="auto"/>
                <w:kern w:val="2"/>
                <w:sz w:val="28"/>
                <w:szCs w:val="28"/>
                <w:highlight w:val="none"/>
                <w:lang w:val="en-US" w:eastAsia="zh-CN"/>
              </w:rPr>
              <w:t>服从度假区</w:t>
            </w:r>
            <w:r>
              <w:rPr>
                <w:rFonts w:hint="eastAsia" w:ascii="宋体" w:hAnsi="宋体" w:eastAsia="宋体" w:cs="宋体"/>
                <w:color w:val="auto"/>
                <w:kern w:val="2"/>
                <w:sz w:val="28"/>
                <w:szCs w:val="28"/>
                <w:highlight w:val="none"/>
                <w:lang w:val="en-US" w:eastAsia="zh-CN"/>
              </w:rPr>
              <w:t>现场管理人员管理，对提出的问题积极整改（1.5分）；所有车辆、机械按招标要求配备，车身印制度假区标识，符合环卫作业相关规范要求（2.5分）</w:t>
            </w:r>
          </w:p>
        </w:tc>
        <w:tc>
          <w:tcPr>
            <w:tcW w:w="2286" w:type="pct"/>
            <w:noWrap w:val="0"/>
            <w:vAlign w:val="center"/>
          </w:tcPr>
          <w:p w14:paraId="7D2818F7">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不服从管理扣1.5分，未在规定时间内保质保量完成整改的，1次扣0.5分；不符合招标要求的车辆发现1处扣0.5分</w:t>
            </w:r>
            <w:r>
              <w:rPr>
                <w:rFonts w:hint="eastAsia" w:ascii="宋体" w:hAnsi="宋体" w:eastAsia="宋体" w:cs="宋体"/>
                <w:color w:val="auto"/>
                <w:kern w:val="2"/>
                <w:sz w:val="28"/>
                <w:szCs w:val="28"/>
                <w:highlight w:val="none"/>
              </w:rPr>
              <w:t>。</w:t>
            </w:r>
          </w:p>
        </w:tc>
      </w:tr>
      <w:tr w14:paraId="002A6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519" w:type="pct"/>
            <w:vMerge w:val="continue"/>
            <w:noWrap w:val="0"/>
            <w:vAlign w:val="center"/>
          </w:tcPr>
          <w:p w14:paraId="5879A50F">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rPr>
            </w:pPr>
          </w:p>
        </w:tc>
        <w:tc>
          <w:tcPr>
            <w:tcW w:w="2193" w:type="pct"/>
            <w:noWrap w:val="0"/>
            <w:vAlign w:val="center"/>
          </w:tcPr>
          <w:p w14:paraId="6997A644">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现场作业人员统一着装（必须具有反光条和度假区标识）（0.5分）</w:t>
            </w:r>
          </w:p>
        </w:tc>
        <w:tc>
          <w:tcPr>
            <w:tcW w:w="2286" w:type="pct"/>
            <w:noWrap w:val="0"/>
            <w:vAlign w:val="center"/>
          </w:tcPr>
          <w:p w14:paraId="003D43AE">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发现1人未按规定着装扣0.1分。</w:t>
            </w:r>
          </w:p>
        </w:tc>
      </w:tr>
      <w:tr w14:paraId="57917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519" w:type="pct"/>
            <w:vMerge w:val="continue"/>
            <w:noWrap w:val="0"/>
            <w:vAlign w:val="center"/>
          </w:tcPr>
          <w:p w14:paraId="0DA6C1D5">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rPr>
            </w:pPr>
          </w:p>
        </w:tc>
        <w:tc>
          <w:tcPr>
            <w:tcW w:w="2193" w:type="pct"/>
            <w:noWrap w:val="0"/>
            <w:vAlign w:val="center"/>
          </w:tcPr>
          <w:p w14:paraId="0E8D0105">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保洁人员不得坐岗、串岗、扎堆闲聊以及其他与工作无关的事（1分）</w:t>
            </w:r>
          </w:p>
        </w:tc>
        <w:tc>
          <w:tcPr>
            <w:tcW w:w="2286" w:type="pct"/>
            <w:noWrap w:val="0"/>
            <w:vAlign w:val="top"/>
          </w:tcPr>
          <w:p w14:paraId="468083BC">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发现1起扣0.2分</w:t>
            </w:r>
          </w:p>
        </w:tc>
      </w:tr>
      <w:tr w14:paraId="636E6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519" w:type="pct"/>
            <w:vMerge w:val="continue"/>
            <w:noWrap w:val="0"/>
            <w:vAlign w:val="center"/>
          </w:tcPr>
          <w:p w14:paraId="56131BFA">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rPr>
            </w:pPr>
          </w:p>
        </w:tc>
        <w:tc>
          <w:tcPr>
            <w:tcW w:w="2193" w:type="pct"/>
            <w:noWrap w:val="0"/>
            <w:vAlign w:val="center"/>
          </w:tcPr>
          <w:p w14:paraId="7456F30E">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lang w:val="en-US"/>
              </w:rPr>
            </w:pPr>
            <w:r>
              <w:rPr>
                <w:rFonts w:hint="eastAsia" w:ascii="宋体" w:hAnsi="宋体" w:eastAsia="宋体" w:cs="宋体"/>
                <w:color w:val="auto"/>
                <w:kern w:val="2"/>
                <w:sz w:val="28"/>
                <w:szCs w:val="28"/>
                <w:highlight w:val="none"/>
                <w:lang w:val="en-US" w:eastAsia="zh-CN"/>
              </w:rPr>
              <w:t>服务范围发现</w:t>
            </w:r>
            <w:r>
              <w:rPr>
                <w:rFonts w:hint="eastAsia" w:ascii="宋体" w:hAnsi="宋体" w:eastAsia="宋体" w:cs="宋体"/>
                <w:color w:val="auto"/>
                <w:kern w:val="2"/>
                <w:sz w:val="28"/>
                <w:szCs w:val="28"/>
                <w:highlight w:val="none"/>
              </w:rPr>
              <w:t>私自开挖</w:t>
            </w:r>
            <w:r>
              <w:rPr>
                <w:rFonts w:hint="eastAsia" w:ascii="宋体" w:hAnsi="宋体" w:eastAsia="宋体" w:cs="宋体"/>
                <w:color w:val="auto"/>
                <w:kern w:val="2"/>
                <w:sz w:val="28"/>
                <w:szCs w:val="28"/>
                <w:highlight w:val="none"/>
                <w:lang w:val="en-US" w:eastAsia="zh-CN"/>
              </w:rPr>
              <w:t>占用</w:t>
            </w:r>
            <w:r>
              <w:rPr>
                <w:rFonts w:hint="eastAsia" w:ascii="宋体" w:hAnsi="宋体" w:eastAsia="宋体" w:cs="宋体"/>
                <w:color w:val="auto"/>
                <w:kern w:val="2"/>
                <w:sz w:val="28"/>
                <w:szCs w:val="28"/>
                <w:highlight w:val="none"/>
              </w:rPr>
              <w:t>施工等行为</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管养单位人员发现并上报综合执法大队（1.5分）</w:t>
            </w:r>
          </w:p>
        </w:tc>
        <w:tc>
          <w:tcPr>
            <w:tcW w:w="2286" w:type="pct"/>
            <w:noWrap w:val="0"/>
            <w:vAlign w:val="top"/>
          </w:tcPr>
          <w:p w14:paraId="21567E45">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color w:val="auto"/>
                <w:kern w:val="2"/>
                <w:sz w:val="28"/>
                <w:szCs w:val="28"/>
                <w:highlight w:val="none"/>
                <w:lang w:val="en-US"/>
              </w:rPr>
            </w:pPr>
            <w:r>
              <w:rPr>
                <w:rFonts w:hint="eastAsia" w:ascii="宋体" w:hAnsi="宋体" w:eastAsia="宋体" w:cs="宋体"/>
                <w:color w:val="auto"/>
                <w:kern w:val="2"/>
                <w:sz w:val="28"/>
                <w:szCs w:val="28"/>
                <w:highlight w:val="none"/>
                <w:lang w:val="en-US" w:eastAsia="zh-CN"/>
              </w:rPr>
              <w:t>未发现，1次扣0.5分</w:t>
            </w:r>
          </w:p>
        </w:tc>
      </w:tr>
      <w:tr w14:paraId="498AD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519" w:type="pct"/>
            <w:vMerge w:val="continue"/>
            <w:noWrap w:val="0"/>
            <w:vAlign w:val="center"/>
          </w:tcPr>
          <w:p w14:paraId="666C6C1F">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rPr>
            </w:pPr>
          </w:p>
        </w:tc>
        <w:tc>
          <w:tcPr>
            <w:tcW w:w="2193" w:type="pct"/>
            <w:noWrap w:val="0"/>
            <w:vAlign w:val="center"/>
          </w:tcPr>
          <w:p w14:paraId="0A1F9936">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rPr>
              <w:t>如遇活动</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rPr>
              <w:t>保障任务</w:t>
            </w:r>
            <w:r>
              <w:rPr>
                <w:rFonts w:hint="eastAsia" w:ascii="宋体" w:hAnsi="宋体" w:eastAsia="宋体" w:cs="宋体"/>
                <w:color w:val="auto"/>
                <w:kern w:val="2"/>
                <w:sz w:val="28"/>
                <w:szCs w:val="28"/>
                <w:highlight w:val="none"/>
                <w:lang w:val="en-US" w:eastAsia="zh-CN"/>
              </w:rPr>
              <w:t>以及甲方安排的其他任务</w:t>
            </w:r>
            <w:r>
              <w:rPr>
                <w:rFonts w:hint="eastAsia" w:ascii="宋体" w:hAnsi="宋体" w:eastAsia="宋体" w:cs="宋体"/>
                <w:color w:val="auto"/>
                <w:kern w:val="2"/>
                <w:sz w:val="28"/>
                <w:szCs w:val="28"/>
                <w:highlight w:val="none"/>
              </w:rPr>
              <w:t>时，</w:t>
            </w:r>
            <w:r>
              <w:rPr>
                <w:rFonts w:hint="eastAsia" w:ascii="宋体" w:hAnsi="宋体" w:eastAsia="宋体" w:cs="宋体"/>
                <w:color w:val="auto"/>
                <w:kern w:val="2"/>
                <w:sz w:val="28"/>
                <w:szCs w:val="28"/>
                <w:highlight w:val="none"/>
                <w:lang w:val="en-US" w:eastAsia="zh-CN"/>
              </w:rPr>
              <w:t>保质保量完成</w:t>
            </w:r>
            <w:r>
              <w:rPr>
                <w:rFonts w:hint="eastAsia" w:ascii="宋体" w:hAnsi="宋体" w:eastAsia="宋体" w:cs="宋体"/>
                <w:color w:val="auto"/>
                <w:kern w:val="2"/>
                <w:sz w:val="28"/>
                <w:szCs w:val="28"/>
                <w:highlight w:val="none"/>
              </w:rPr>
              <w:t>。</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1.5分</w:t>
            </w:r>
            <w:r>
              <w:rPr>
                <w:rFonts w:hint="eastAsia" w:ascii="宋体" w:hAnsi="宋体" w:eastAsia="宋体" w:cs="宋体"/>
                <w:color w:val="auto"/>
                <w:kern w:val="2"/>
                <w:sz w:val="28"/>
                <w:szCs w:val="28"/>
                <w:highlight w:val="none"/>
                <w:lang w:eastAsia="zh-CN"/>
              </w:rPr>
              <w:t>）</w:t>
            </w:r>
          </w:p>
        </w:tc>
        <w:tc>
          <w:tcPr>
            <w:tcW w:w="2286" w:type="pct"/>
            <w:noWrap w:val="0"/>
            <w:vAlign w:val="center"/>
          </w:tcPr>
          <w:p w14:paraId="6C7180C6">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未积极完成酌情扣分</w:t>
            </w:r>
            <w:r>
              <w:rPr>
                <w:rFonts w:hint="eastAsia" w:ascii="宋体" w:hAnsi="宋体" w:eastAsia="宋体" w:cs="宋体"/>
                <w:color w:val="auto"/>
                <w:kern w:val="2"/>
                <w:sz w:val="28"/>
                <w:szCs w:val="28"/>
                <w:highlight w:val="none"/>
              </w:rPr>
              <w:t>。</w:t>
            </w:r>
          </w:p>
        </w:tc>
      </w:tr>
    </w:tbl>
    <w:p w14:paraId="67D30581">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2"/>
          <w:sz w:val="28"/>
          <w:szCs w:val="28"/>
          <w:highlight w:val="none"/>
        </w:rPr>
      </w:pPr>
    </w:p>
    <w:p w14:paraId="288AAEC6">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val="0"/>
          <w:bCs w:val="0"/>
          <w:color w:val="auto"/>
          <w:kern w:val="2"/>
          <w:sz w:val="28"/>
          <w:szCs w:val="28"/>
          <w:highlight w:val="none"/>
          <w:lang w:val="en-US" w:eastAsia="zh-CN"/>
        </w:rPr>
      </w:pPr>
      <w:r>
        <w:rPr>
          <w:rFonts w:hint="eastAsia" w:ascii="宋体" w:hAnsi="宋体" w:eastAsia="宋体" w:cs="宋体"/>
          <w:b w:val="0"/>
          <w:bCs w:val="0"/>
          <w:color w:val="auto"/>
          <w:kern w:val="2"/>
          <w:sz w:val="28"/>
          <w:szCs w:val="28"/>
          <w:highlight w:val="none"/>
          <w:lang w:val="en-US" w:eastAsia="zh-CN"/>
        </w:rPr>
        <w:t>2、绿化（共50分）</w:t>
      </w:r>
    </w:p>
    <w:tbl>
      <w:tblPr>
        <w:tblStyle w:val="29"/>
        <w:tblW w:w="520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96"/>
        <w:gridCol w:w="1257"/>
        <w:gridCol w:w="5921"/>
        <w:gridCol w:w="776"/>
        <w:gridCol w:w="779"/>
      </w:tblGrid>
      <w:tr w14:paraId="45549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tcBorders>
              <w:top w:val="single" w:color="000000" w:sz="4" w:space="0"/>
              <w:left w:val="single" w:color="000000" w:sz="4" w:space="0"/>
              <w:bottom w:val="single" w:color="000000" w:sz="4" w:space="0"/>
              <w:right w:val="single" w:color="000000" w:sz="4" w:space="0"/>
            </w:tcBorders>
            <w:noWrap w:val="0"/>
            <w:vAlign w:val="center"/>
          </w:tcPr>
          <w:p w14:paraId="1D65F3C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auto"/>
                <w:kern w:val="2"/>
                <w:sz w:val="28"/>
                <w:szCs w:val="28"/>
                <w:highlight w:val="none"/>
                <w:u w:val="none"/>
              </w:rPr>
            </w:pPr>
            <w:r>
              <w:rPr>
                <w:rFonts w:hint="eastAsia" w:ascii="宋体" w:hAnsi="宋体" w:eastAsia="宋体" w:cs="宋体"/>
                <w:b/>
                <w:bCs/>
                <w:i w:val="0"/>
                <w:iCs w:val="0"/>
                <w:color w:val="auto"/>
                <w:kern w:val="0"/>
                <w:sz w:val="28"/>
                <w:szCs w:val="28"/>
                <w:highlight w:val="none"/>
                <w:u w:val="none"/>
                <w:lang w:val="en-US" w:eastAsia="zh-CN" w:bidi="ar"/>
              </w:rPr>
              <w:t>序号</w:t>
            </w:r>
          </w:p>
        </w:tc>
        <w:tc>
          <w:tcPr>
            <w:tcW w:w="677" w:type="pct"/>
            <w:tcBorders>
              <w:top w:val="single" w:color="000000" w:sz="4" w:space="0"/>
              <w:left w:val="single" w:color="000000" w:sz="4" w:space="0"/>
              <w:bottom w:val="single" w:color="000000" w:sz="4" w:space="0"/>
              <w:right w:val="single" w:color="000000" w:sz="4" w:space="0"/>
            </w:tcBorders>
            <w:noWrap w:val="0"/>
            <w:vAlign w:val="center"/>
          </w:tcPr>
          <w:p w14:paraId="37E3FA4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auto"/>
                <w:kern w:val="2"/>
                <w:sz w:val="28"/>
                <w:szCs w:val="28"/>
                <w:highlight w:val="none"/>
                <w:u w:val="none"/>
              </w:rPr>
            </w:pPr>
            <w:r>
              <w:rPr>
                <w:rFonts w:hint="eastAsia" w:ascii="宋体" w:hAnsi="宋体" w:eastAsia="宋体" w:cs="宋体"/>
                <w:b/>
                <w:bCs/>
                <w:i w:val="0"/>
                <w:iCs w:val="0"/>
                <w:color w:val="auto"/>
                <w:kern w:val="0"/>
                <w:sz w:val="28"/>
                <w:szCs w:val="28"/>
                <w:highlight w:val="none"/>
                <w:u w:val="none"/>
                <w:lang w:val="en-US" w:eastAsia="zh-CN" w:bidi="ar"/>
              </w:rPr>
              <w:t>项目</w:t>
            </w: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7A6AEA0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auto"/>
                <w:kern w:val="2"/>
                <w:sz w:val="28"/>
                <w:szCs w:val="28"/>
                <w:highlight w:val="none"/>
                <w:u w:val="none"/>
              </w:rPr>
            </w:pPr>
            <w:r>
              <w:rPr>
                <w:rFonts w:hint="eastAsia" w:ascii="宋体" w:hAnsi="宋体" w:eastAsia="宋体" w:cs="宋体"/>
                <w:b/>
                <w:bCs/>
                <w:i w:val="0"/>
                <w:iCs w:val="0"/>
                <w:color w:val="auto"/>
                <w:kern w:val="0"/>
                <w:sz w:val="28"/>
                <w:szCs w:val="28"/>
                <w:highlight w:val="none"/>
                <w:u w:val="none"/>
                <w:lang w:val="en-US" w:eastAsia="zh-CN" w:bidi="ar"/>
              </w:rPr>
              <w:t>考核内容</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1BE1FBC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auto"/>
                <w:kern w:val="2"/>
                <w:sz w:val="28"/>
                <w:szCs w:val="28"/>
                <w:highlight w:val="none"/>
                <w:u w:val="none"/>
              </w:rPr>
            </w:pPr>
            <w:r>
              <w:rPr>
                <w:rFonts w:hint="eastAsia" w:ascii="宋体" w:hAnsi="宋体" w:eastAsia="宋体" w:cs="宋体"/>
                <w:b/>
                <w:bCs/>
                <w:i w:val="0"/>
                <w:iCs w:val="0"/>
                <w:color w:val="auto"/>
                <w:kern w:val="0"/>
                <w:sz w:val="28"/>
                <w:szCs w:val="28"/>
                <w:highlight w:val="none"/>
                <w:u w:val="none"/>
                <w:lang w:val="en-US" w:eastAsia="zh-CN" w:bidi="ar"/>
              </w:rPr>
              <w:t>分值</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795D403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auto"/>
                <w:kern w:val="2"/>
                <w:sz w:val="28"/>
                <w:szCs w:val="28"/>
                <w:highlight w:val="none"/>
                <w:u w:val="none"/>
              </w:rPr>
            </w:pPr>
            <w:r>
              <w:rPr>
                <w:rFonts w:hint="eastAsia" w:ascii="宋体" w:hAnsi="宋体" w:eastAsia="宋体" w:cs="宋体"/>
                <w:b/>
                <w:bCs/>
                <w:i w:val="0"/>
                <w:iCs w:val="0"/>
                <w:color w:val="auto"/>
                <w:kern w:val="0"/>
                <w:sz w:val="28"/>
                <w:szCs w:val="28"/>
                <w:highlight w:val="none"/>
                <w:u w:val="none"/>
                <w:lang w:val="en-US" w:eastAsia="zh-CN" w:bidi="ar"/>
              </w:rPr>
              <w:t>得分</w:t>
            </w:r>
          </w:p>
        </w:tc>
      </w:tr>
      <w:tr w14:paraId="0470B6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restart"/>
            <w:tcBorders>
              <w:top w:val="single" w:color="000000" w:sz="4" w:space="0"/>
              <w:left w:val="single" w:color="000000" w:sz="4" w:space="0"/>
              <w:bottom w:val="single" w:color="000000" w:sz="4" w:space="0"/>
              <w:right w:val="single" w:color="000000" w:sz="4" w:space="0"/>
            </w:tcBorders>
            <w:noWrap w:val="0"/>
            <w:vAlign w:val="center"/>
          </w:tcPr>
          <w:p w14:paraId="33B8CD0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677" w:type="pct"/>
            <w:vMerge w:val="restart"/>
            <w:tcBorders>
              <w:top w:val="single" w:color="000000" w:sz="4" w:space="0"/>
              <w:left w:val="single" w:color="000000" w:sz="4" w:space="0"/>
              <w:bottom w:val="single" w:color="000000" w:sz="4" w:space="0"/>
              <w:right w:val="single" w:color="000000" w:sz="4" w:space="0"/>
            </w:tcBorders>
            <w:noWrap w:val="0"/>
            <w:vAlign w:val="center"/>
          </w:tcPr>
          <w:p w14:paraId="3605034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绿化管理制度及人员配置（6.5分）</w:t>
            </w: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5028C37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1、及时上报绿化养护全年及月（日）工作计划，当月（日）完成情况。</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680ADBF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543C1A44">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4F9568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44A78DDF">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015F847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0B0E6F1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2、及时发工作照片至管理群（每日至少上午下午各一次。</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4184438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543AF2C4">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3F1218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5935FD24">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67B6403C">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46D23E8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3、建立健全绿化养护工作台账（打药、施肥、浇水等）。</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3C5C581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lang w:val="en-US"/>
              </w:rPr>
            </w:pPr>
            <w:r>
              <w:rPr>
                <w:rFonts w:hint="eastAsia" w:ascii="宋体" w:hAnsi="宋体" w:eastAsia="宋体" w:cs="宋体"/>
                <w:i w:val="0"/>
                <w:iCs w:val="0"/>
                <w:color w:val="auto"/>
                <w:kern w:val="0"/>
                <w:sz w:val="28"/>
                <w:szCs w:val="28"/>
                <w:highlight w:val="none"/>
                <w:u w:val="none"/>
                <w:lang w:val="en-US" w:eastAsia="zh-CN" w:bidi="ar"/>
              </w:rPr>
              <w:t>0.5</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2AD3D0EC">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42A94E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70F2EE8A">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2889C81D">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67394AE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4、草花更换、公园改造更新项目是否按程序申报。</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4A243F0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lang w:val="en-US"/>
              </w:rPr>
            </w:pPr>
            <w:r>
              <w:rPr>
                <w:rFonts w:hint="eastAsia" w:ascii="宋体" w:hAnsi="宋体" w:eastAsia="宋体" w:cs="宋体"/>
                <w:i w:val="0"/>
                <w:iCs w:val="0"/>
                <w:color w:val="auto"/>
                <w:kern w:val="0"/>
                <w:sz w:val="28"/>
                <w:szCs w:val="28"/>
                <w:highlight w:val="none"/>
                <w:u w:val="none"/>
                <w:lang w:val="en-US" w:eastAsia="zh-CN" w:bidi="ar"/>
              </w:rPr>
              <w:t>0.5</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527F1CC6">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23796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30DDC353">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20E7298D">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132A05F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color w:val="auto"/>
                <w:kern w:val="2"/>
                <w:sz w:val="28"/>
                <w:szCs w:val="28"/>
                <w:highlight w:val="none"/>
                <w:u w:val="none"/>
                <w:lang w:val="en-US" w:eastAsia="zh-CN" w:bidi="ar"/>
              </w:rPr>
              <w:t>5、绿化人数配备不足或虚报人数的，每次扣1分。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6BEC078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3</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5B429115">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6F08F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10DE89FF">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6D1A8A7E">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5EA1E49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color w:val="auto"/>
                <w:kern w:val="2"/>
                <w:sz w:val="28"/>
                <w:szCs w:val="28"/>
                <w:highlight w:val="none"/>
                <w:u w:val="none"/>
                <w:lang w:val="en-US" w:eastAsia="zh-CN" w:bidi="ar"/>
              </w:rPr>
              <w:t>6、配合各项检查及专项整治任务工作以及台账资料整理汇报。</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1E9B0E8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lang w:val="en-US"/>
              </w:rPr>
            </w:pPr>
            <w:r>
              <w:rPr>
                <w:rFonts w:hint="eastAsia" w:ascii="宋体" w:hAnsi="宋体" w:eastAsia="宋体" w:cs="宋体"/>
                <w:i w:val="0"/>
                <w:iCs w:val="0"/>
                <w:color w:val="auto"/>
                <w:kern w:val="0"/>
                <w:sz w:val="28"/>
                <w:szCs w:val="28"/>
                <w:highlight w:val="none"/>
                <w:u w:val="none"/>
                <w:lang w:val="en-US" w:eastAsia="zh-CN" w:bidi="ar"/>
              </w:rPr>
              <w:t>0.5</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013C853A">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3A36F8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restart"/>
            <w:tcBorders>
              <w:top w:val="single" w:color="000000" w:sz="4" w:space="0"/>
              <w:left w:val="single" w:color="000000" w:sz="4" w:space="0"/>
              <w:bottom w:val="single" w:color="000000" w:sz="4" w:space="0"/>
              <w:right w:val="single" w:color="000000" w:sz="4" w:space="0"/>
            </w:tcBorders>
            <w:noWrap w:val="0"/>
            <w:vAlign w:val="center"/>
          </w:tcPr>
          <w:p w14:paraId="571E475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w:t>
            </w:r>
          </w:p>
        </w:tc>
        <w:tc>
          <w:tcPr>
            <w:tcW w:w="677" w:type="pct"/>
            <w:vMerge w:val="restart"/>
            <w:tcBorders>
              <w:top w:val="single" w:color="000000" w:sz="4" w:space="0"/>
              <w:left w:val="single" w:color="000000" w:sz="4" w:space="0"/>
              <w:bottom w:val="single" w:color="000000" w:sz="4" w:space="0"/>
              <w:right w:val="single" w:color="000000" w:sz="4" w:space="0"/>
            </w:tcBorders>
            <w:noWrap w:val="0"/>
            <w:vAlign w:val="center"/>
          </w:tcPr>
          <w:p w14:paraId="441E81C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乔木（常绿、落叶）（7分）</w:t>
            </w: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1EB40B8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color w:val="auto"/>
                <w:kern w:val="2"/>
                <w:sz w:val="28"/>
                <w:szCs w:val="28"/>
                <w:highlight w:val="none"/>
                <w:u w:val="none"/>
                <w:lang w:val="en-US" w:eastAsia="zh-CN" w:bidi="ar"/>
              </w:rPr>
              <w:t>1、生长旺盛，树冠完整，主侧枝分布均匀，内膛通风透光。乔木冠型完整，修剪合理；基部除萌及时；树穴完整，无杂草杂树苗，无堆放物。</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451AE80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32990C3D">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730AA8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6203C512">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3FC10E6D">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5838F86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2、叶色正常，无卷叶、黄叶，及时防治病虫害。病虫害防治不及时，造成蔓延，严重影响景观，每发现一处扣0.5分。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6258053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3960BF6B">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0D49C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031CECE8">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740730CD">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18D0093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3、枝干生长正常，无枯死枝，无蛀干害虫，无缠绕、钉挂物。每发现一处扣0.5分。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2AD1D69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lang w:val="en-US"/>
              </w:rPr>
            </w:pPr>
            <w:r>
              <w:rPr>
                <w:rFonts w:hint="eastAsia" w:ascii="宋体" w:hAnsi="宋体" w:eastAsia="宋体" w:cs="宋体"/>
                <w:i w:val="0"/>
                <w:iCs w:val="0"/>
                <w:color w:val="auto"/>
                <w:kern w:val="0"/>
                <w:sz w:val="28"/>
                <w:szCs w:val="28"/>
                <w:highlight w:val="none"/>
                <w:u w:val="none"/>
                <w:lang w:val="en-US" w:eastAsia="zh-CN" w:bidi="ar"/>
              </w:rPr>
              <w:t>1.5</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57C38F05">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0FBA6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39108EF7">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0A454E85">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0153D7B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color w:val="auto"/>
                <w:kern w:val="2"/>
                <w:sz w:val="28"/>
                <w:szCs w:val="28"/>
                <w:highlight w:val="none"/>
                <w:u w:val="none"/>
                <w:lang w:val="en-US" w:eastAsia="zh-CN" w:bidi="ar"/>
              </w:rPr>
              <w:t>4、树木保存率98%，古树名木保存率100%。树木死亡时清理及时，树根处理规范。每发现一处死树扣0.5分。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4BC1ABA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lang w:val="en-US"/>
              </w:rPr>
            </w:pPr>
            <w:r>
              <w:rPr>
                <w:rFonts w:hint="eastAsia" w:ascii="宋体" w:hAnsi="宋体" w:eastAsia="宋体" w:cs="宋体"/>
                <w:i w:val="0"/>
                <w:iCs w:val="0"/>
                <w:color w:val="auto"/>
                <w:kern w:val="0"/>
                <w:sz w:val="28"/>
                <w:szCs w:val="28"/>
                <w:highlight w:val="none"/>
                <w:u w:val="none"/>
                <w:lang w:val="en-US" w:eastAsia="zh-CN" w:bidi="ar"/>
              </w:rPr>
              <w:t>1.5</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4CF887A0">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0D3944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restart"/>
            <w:tcBorders>
              <w:top w:val="single" w:color="000000" w:sz="4" w:space="0"/>
              <w:left w:val="single" w:color="000000" w:sz="4" w:space="0"/>
              <w:bottom w:val="single" w:color="000000" w:sz="4" w:space="0"/>
              <w:right w:val="single" w:color="000000" w:sz="4" w:space="0"/>
            </w:tcBorders>
            <w:noWrap w:val="0"/>
            <w:vAlign w:val="center"/>
          </w:tcPr>
          <w:p w14:paraId="3C33520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3</w:t>
            </w:r>
          </w:p>
        </w:tc>
        <w:tc>
          <w:tcPr>
            <w:tcW w:w="677" w:type="pct"/>
            <w:vMerge w:val="restart"/>
            <w:tcBorders>
              <w:top w:val="single" w:color="000000" w:sz="4" w:space="0"/>
              <w:left w:val="single" w:color="000000" w:sz="4" w:space="0"/>
              <w:bottom w:val="single" w:color="000000" w:sz="4" w:space="0"/>
              <w:right w:val="single" w:color="000000" w:sz="4" w:space="0"/>
            </w:tcBorders>
            <w:noWrap w:val="0"/>
            <w:vAlign w:val="center"/>
          </w:tcPr>
          <w:p w14:paraId="046F799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灌木（球类、绿篱）（8.5分）</w:t>
            </w: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195F2A4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1、生长旺盛，枝条密实均匀，无明显枯枝、断枝。每发现一处扣0.5分。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77F8DCB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7D6215C3">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424B1D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75312BAD">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1F8C2DC5">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3610509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2、保持修剪，球类成型，完整无缺；绿篱平整无缺，无脱脚。整形树必须保证一定形态，修剪及时，每发现一处扣0.5分。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140A040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0FAF1E31">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6EE848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32672D5C">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789B403D">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30D87C0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3、叶色正常，无卷叶、黄叶，及时防治病虫害。病虫害防治不及时，造成蔓延，严重影响景观，每发现一处扣0.5分。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082F24A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3F936CE9">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6FE63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6203F643">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39EDC4C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1FCC9D7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4、植株成活率98%以上，若成片死亡要及时补充。</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54DEBB5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lang w:val="en-US"/>
              </w:rPr>
            </w:pPr>
            <w:r>
              <w:rPr>
                <w:rFonts w:hint="eastAsia" w:ascii="宋体" w:hAnsi="宋体" w:eastAsia="宋体" w:cs="宋体"/>
                <w:i w:val="0"/>
                <w:iCs w:val="0"/>
                <w:color w:val="auto"/>
                <w:kern w:val="0"/>
                <w:sz w:val="28"/>
                <w:szCs w:val="28"/>
                <w:highlight w:val="none"/>
                <w:u w:val="none"/>
                <w:lang w:val="en-US" w:eastAsia="zh-CN" w:bidi="ar"/>
              </w:rPr>
              <w:t>1.5</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1D025E55">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13CF09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5F0F41E0">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709E7AE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419049F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color w:val="auto"/>
                <w:kern w:val="2"/>
                <w:sz w:val="28"/>
                <w:szCs w:val="28"/>
                <w:highlight w:val="none"/>
                <w:u w:val="none"/>
                <w:lang w:val="en-US" w:eastAsia="zh-CN" w:bidi="ar"/>
              </w:rPr>
              <w:t>5、基本无垃圾物。杂草杂树、绿化死角、垃圾堆放死角、杂物堆放死角等，每发现一处扣0.5分。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23B107B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3076832D">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72330A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restart"/>
            <w:tcBorders>
              <w:top w:val="single" w:color="000000" w:sz="4" w:space="0"/>
              <w:left w:val="single" w:color="000000" w:sz="4" w:space="0"/>
              <w:bottom w:val="single" w:color="000000" w:sz="4" w:space="0"/>
              <w:right w:val="single" w:color="000000" w:sz="4" w:space="0"/>
            </w:tcBorders>
            <w:noWrap w:val="0"/>
            <w:vAlign w:val="center"/>
          </w:tcPr>
          <w:p w14:paraId="5B0AF6F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4</w:t>
            </w:r>
          </w:p>
        </w:tc>
        <w:tc>
          <w:tcPr>
            <w:tcW w:w="677" w:type="pct"/>
            <w:vMerge w:val="restart"/>
            <w:tcBorders>
              <w:top w:val="single" w:color="000000" w:sz="4" w:space="0"/>
              <w:left w:val="single" w:color="000000" w:sz="4" w:space="0"/>
              <w:bottom w:val="single" w:color="000000" w:sz="4" w:space="0"/>
              <w:right w:val="single" w:color="000000" w:sz="4" w:space="0"/>
            </w:tcBorders>
            <w:noWrap w:val="0"/>
            <w:vAlign w:val="center"/>
          </w:tcPr>
          <w:p w14:paraId="7A99F31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草坪（7.5分）</w:t>
            </w: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115DB91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1、草坪（地被）整体景观优美整齐，长势良好，草根不裸露。</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3996765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lang w:val="en-US"/>
              </w:rPr>
            </w:pPr>
            <w:r>
              <w:rPr>
                <w:rFonts w:hint="eastAsia" w:ascii="宋体" w:hAnsi="宋体" w:eastAsia="宋体" w:cs="宋体"/>
                <w:i w:val="0"/>
                <w:iCs w:val="0"/>
                <w:color w:val="auto"/>
                <w:kern w:val="0"/>
                <w:sz w:val="28"/>
                <w:szCs w:val="28"/>
                <w:highlight w:val="none"/>
                <w:u w:val="none"/>
                <w:lang w:val="en-US" w:eastAsia="zh-CN" w:bidi="ar"/>
              </w:rPr>
              <w:t>1.5</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1D599248">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7CEC4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0D22259A">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74BC7C0C">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11DF34B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2、草坪生长期内不枯黄，覆盖率95%以上，杂草不超过5株/平方米。景观草坪有明显杂草的，每发现1处扣0.5分；杂草严重影响草坪生长的，导致草坪整体大面积枯萎；每发现1处扣1分。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798FC74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lang w:val="en-US"/>
              </w:rPr>
            </w:pPr>
            <w:r>
              <w:rPr>
                <w:rFonts w:hint="eastAsia" w:ascii="宋体" w:hAnsi="宋体" w:eastAsia="宋体" w:cs="宋体"/>
                <w:i w:val="0"/>
                <w:iCs w:val="0"/>
                <w:color w:val="auto"/>
                <w:kern w:val="0"/>
                <w:sz w:val="28"/>
                <w:szCs w:val="28"/>
                <w:highlight w:val="none"/>
                <w:u w:val="none"/>
                <w:lang w:val="en-US" w:eastAsia="zh-CN" w:bidi="ar"/>
              </w:rPr>
              <w:t>1.5</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6E54894E">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296B4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0266434D">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1B17111C">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322B7AC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3、推剪平整，漏剪率不超过5%，修剪杂物及时清运，草坪修剪是否及时合理。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040D218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lang w:val="en-US"/>
              </w:rPr>
            </w:pPr>
            <w:r>
              <w:rPr>
                <w:rFonts w:hint="eastAsia" w:ascii="宋体" w:hAnsi="宋体" w:eastAsia="宋体" w:cs="宋体"/>
                <w:i w:val="0"/>
                <w:iCs w:val="0"/>
                <w:color w:val="auto"/>
                <w:kern w:val="0"/>
                <w:sz w:val="28"/>
                <w:szCs w:val="28"/>
                <w:highlight w:val="none"/>
                <w:u w:val="none"/>
                <w:lang w:val="en-US" w:eastAsia="zh-CN" w:bidi="ar"/>
              </w:rPr>
              <w:t>1.5</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7D08D296">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55DBC5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2B0F9EB8">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59B513BD">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72A3E4E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4、草坪内无明显裸露地，无病虫害。草坪积水、空秃，黄土裸露，每发现1处扣0.5分。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7D7A9CD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lang w:val="en-US"/>
              </w:rPr>
            </w:pPr>
            <w:r>
              <w:rPr>
                <w:rFonts w:hint="eastAsia" w:ascii="宋体" w:hAnsi="宋体" w:eastAsia="宋体" w:cs="宋体"/>
                <w:i w:val="0"/>
                <w:iCs w:val="0"/>
                <w:color w:val="auto"/>
                <w:kern w:val="0"/>
                <w:sz w:val="28"/>
                <w:szCs w:val="28"/>
                <w:highlight w:val="none"/>
                <w:u w:val="none"/>
                <w:lang w:val="en-US" w:eastAsia="zh-CN" w:bidi="ar"/>
              </w:rPr>
              <w:t>1.5</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6718B31B">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0151C7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01B9AC8A">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0FD8B5D4">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437E322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5、草坪边缘线是否清晰（与路面、树坛、花坛交界处），未做切边处理的，发现1处扣0.5分。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10A9E58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lang w:val="en-US"/>
              </w:rPr>
            </w:pPr>
            <w:r>
              <w:rPr>
                <w:rFonts w:hint="eastAsia" w:ascii="宋体" w:hAnsi="宋体" w:eastAsia="宋体" w:cs="宋体"/>
                <w:i w:val="0"/>
                <w:iCs w:val="0"/>
                <w:color w:val="auto"/>
                <w:kern w:val="0"/>
                <w:sz w:val="28"/>
                <w:szCs w:val="28"/>
                <w:highlight w:val="none"/>
                <w:u w:val="none"/>
                <w:lang w:val="en-US" w:eastAsia="zh-CN" w:bidi="ar"/>
              </w:rPr>
              <w:t>1.5</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20EBA35A">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7F829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restart"/>
            <w:tcBorders>
              <w:top w:val="single" w:color="000000" w:sz="4" w:space="0"/>
              <w:left w:val="single" w:color="000000" w:sz="4" w:space="0"/>
              <w:bottom w:val="single" w:color="000000" w:sz="4" w:space="0"/>
              <w:right w:val="single" w:color="000000" w:sz="4" w:space="0"/>
            </w:tcBorders>
            <w:noWrap w:val="0"/>
            <w:vAlign w:val="center"/>
          </w:tcPr>
          <w:p w14:paraId="23808BE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5</w:t>
            </w:r>
          </w:p>
        </w:tc>
        <w:tc>
          <w:tcPr>
            <w:tcW w:w="677" w:type="pct"/>
            <w:vMerge w:val="restart"/>
            <w:tcBorders>
              <w:top w:val="single" w:color="000000" w:sz="4" w:space="0"/>
              <w:left w:val="single" w:color="000000" w:sz="4" w:space="0"/>
              <w:bottom w:val="single" w:color="000000" w:sz="4" w:space="0"/>
              <w:right w:val="single" w:color="000000" w:sz="4" w:space="0"/>
            </w:tcBorders>
            <w:noWrap w:val="0"/>
            <w:vAlign w:val="center"/>
          </w:tcPr>
          <w:p w14:paraId="70401DE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安全及文明施工（5.5分）</w:t>
            </w: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070C43F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color w:val="auto"/>
                <w:kern w:val="2"/>
                <w:sz w:val="28"/>
                <w:szCs w:val="28"/>
                <w:highlight w:val="none"/>
                <w:u w:val="none"/>
                <w:lang w:val="en-US" w:eastAsia="zh-CN" w:bidi="ar"/>
              </w:rPr>
              <w:t>1、防风防汛防雪防火等。灾前积极预防，建立健全各项预案。对树木加固、修剪；灾后及时清除倒树断枝，疏通道路，清理、扶植。</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7CBF640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1BEA5352">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1DDC4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41E44233">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26917EBB">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2173983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2、机动车、员工车辆等在规定时间进出园区，车辆有序停放在指定地点，规范使用工程车、工程机械器等。</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24E3D88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lang w:val="en-US"/>
              </w:rPr>
            </w:pPr>
            <w:r>
              <w:rPr>
                <w:rFonts w:hint="eastAsia" w:ascii="宋体" w:hAnsi="宋体" w:eastAsia="宋体" w:cs="宋体"/>
                <w:i w:val="0"/>
                <w:iCs w:val="0"/>
                <w:color w:val="auto"/>
                <w:kern w:val="0"/>
                <w:sz w:val="28"/>
                <w:szCs w:val="28"/>
                <w:highlight w:val="none"/>
                <w:u w:val="none"/>
                <w:lang w:val="en-US" w:eastAsia="zh-CN" w:bidi="ar"/>
              </w:rPr>
              <w:t>0.5</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08900A72">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783CB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2597853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0A2008C3">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4BD1107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color w:val="auto"/>
                <w:kern w:val="2"/>
                <w:sz w:val="28"/>
                <w:szCs w:val="28"/>
                <w:highlight w:val="none"/>
                <w:u w:val="none"/>
                <w:lang w:val="en-US" w:eastAsia="zh-CN" w:bidi="ar"/>
              </w:rPr>
              <w:t>3、绿化施工时，安全措施完善,施工警示、安全帽、口罩、安全绳等规范使用。</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66CD4C6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27A6940D">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4DE2F7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D0BD5C">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5EE236C9">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074C443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color w:val="auto"/>
                <w:kern w:val="2"/>
                <w:sz w:val="28"/>
                <w:szCs w:val="28"/>
                <w:highlight w:val="none"/>
                <w:u w:val="none"/>
                <w:lang w:val="en-US" w:eastAsia="zh-CN" w:bidi="ar"/>
              </w:rPr>
              <w:t>4、树木安全专项检查，及时清除歪倒、断枝等安全隐患，并形成台账及时上交。</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5C8A416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2D24BD77">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190CB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2371467D">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428964BE">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15AC7B4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color w:val="auto"/>
                <w:kern w:val="2"/>
                <w:sz w:val="28"/>
                <w:szCs w:val="28"/>
                <w:highlight w:val="none"/>
                <w:u w:val="none"/>
                <w:lang w:val="en-US" w:eastAsia="zh-CN" w:bidi="ar"/>
              </w:rPr>
              <w:t>5、仓库管理规范，农药、汽油等出入库记录如实且详细，购买渠道正规，符合国家规定标准。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3D71E3B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lang w:val="en-US"/>
              </w:rPr>
            </w:pPr>
            <w:r>
              <w:rPr>
                <w:rFonts w:hint="eastAsia" w:ascii="宋体" w:hAnsi="宋体" w:eastAsia="宋体" w:cs="宋体"/>
                <w:i w:val="0"/>
                <w:iCs w:val="0"/>
                <w:color w:val="auto"/>
                <w:kern w:val="0"/>
                <w:sz w:val="28"/>
                <w:szCs w:val="28"/>
                <w:highlight w:val="none"/>
                <w:u w:val="none"/>
                <w:lang w:val="en-US" w:eastAsia="zh-CN" w:bidi="ar"/>
              </w:rPr>
              <w:t>0.5</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2402AC4A">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70D802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1AB2E4F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6254E02D">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30C13B2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color w:val="auto"/>
                <w:kern w:val="2"/>
                <w:sz w:val="28"/>
                <w:szCs w:val="28"/>
                <w:highlight w:val="none"/>
                <w:u w:val="none"/>
                <w:lang w:val="en-US" w:eastAsia="zh-CN" w:bidi="ar"/>
              </w:rPr>
              <w:t>6、施工产生的绿化垃圾必须做到施工结束时及时清场，不得随意堆放。车辆运输时无抛洒滴漏。</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1A49F20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4EAE0EA8">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7FBE50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1A13D7AA">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0A15F3C4">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6ABF324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7、外围网清理，围网两边1米范围内无杂草杂树，无藤蔓，无枯死枝，存在安全隐患的树枝及时修剪。</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126776E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lang w:val="en-US" w:eastAsia="zh-CN"/>
              </w:rPr>
            </w:pPr>
            <w:r>
              <w:rPr>
                <w:rFonts w:hint="eastAsia" w:ascii="宋体" w:hAnsi="宋体" w:eastAsia="宋体" w:cs="宋体"/>
                <w:i w:val="0"/>
                <w:iCs w:val="0"/>
                <w:color w:val="auto"/>
                <w:kern w:val="2"/>
                <w:sz w:val="28"/>
                <w:szCs w:val="28"/>
                <w:highlight w:val="none"/>
                <w:u w:val="none"/>
                <w:lang w:val="en-US" w:eastAsia="zh-CN"/>
              </w:rPr>
              <w:t>0.5</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3C06A6DC">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496DE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restart"/>
            <w:tcBorders>
              <w:top w:val="single" w:color="000000" w:sz="4" w:space="0"/>
              <w:left w:val="single" w:color="000000" w:sz="4" w:space="0"/>
              <w:bottom w:val="single" w:color="000000" w:sz="4" w:space="0"/>
              <w:right w:val="single" w:color="000000" w:sz="4" w:space="0"/>
            </w:tcBorders>
            <w:noWrap w:val="0"/>
            <w:vAlign w:val="center"/>
          </w:tcPr>
          <w:p w14:paraId="732E3EC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6</w:t>
            </w:r>
          </w:p>
        </w:tc>
        <w:tc>
          <w:tcPr>
            <w:tcW w:w="677" w:type="pct"/>
            <w:vMerge w:val="restart"/>
            <w:tcBorders>
              <w:top w:val="single" w:color="000000" w:sz="4" w:space="0"/>
              <w:left w:val="single" w:color="000000" w:sz="4" w:space="0"/>
              <w:bottom w:val="single" w:color="000000" w:sz="4" w:space="0"/>
              <w:right w:val="single" w:color="000000" w:sz="4" w:space="0"/>
            </w:tcBorders>
            <w:noWrap w:val="0"/>
            <w:vAlign w:val="center"/>
          </w:tcPr>
          <w:p w14:paraId="76140BB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山林（竹林、成林）（4分）</w:t>
            </w: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69BDCE3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1、竹子生长正常，基本无枯死枝，基本无倾斜歪倒，每发现一处扣0.5分。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6324061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5432B631">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79F7E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6D8B0597">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2F326BCF">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1C6A41D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2、对竹林做好管护、去杂、抚育工作。</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3798E97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74FF9346">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57043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3439F73A">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2650AEF2">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4F09350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3、清理成林林下，沿路可视范围无枯死枝及藤蔓缠绕。</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6A36B57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3D9E326F">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3524D4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777F786C">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6DDB53FF">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006E9D5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4、成林林下无小灌木、杂草、白色垃圾；上山道路两侧5米，无垃圾，杂物及时清运，每发现一处扣0.5分。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2E832FE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504BCC5A">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34D611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restart"/>
            <w:tcBorders>
              <w:top w:val="single" w:color="000000" w:sz="4" w:space="0"/>
              <w:left w:val="single" w:color="000000" w:sz="4" w:space="0"/>
              <w:bottom w:val="single" w:color="000000" w:sz="4" w:space="0"/>
              <w:right w:val="single" w:color="000000" w:sz="4" w:space="0"/>
            </w:tcBorders>
            <w:noWrap w:val="0"/>
            <w:vAlign w:val="center"/>
          </w:tcPr>
          <w:p w14:paraId="747EEA5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7</w:t>
            </w:r>
          </w:p>
        </w:tc>
        <w:tc>
          <w:tcPr>
            <w:tcW w:w="677" w:type="pct"/>
            <w:vMerge w:val="restart"/>
            <w:tcBorders>
              <w:top w:val="single" w:color="000000" w:sz="4" w:space="0"/>
              <w:left w:val="single" w:color="000000" w:sz="4" w:space="0"/>
              <w:bottom w:val="single" w:color="000000" w:sz="4" w:space="0"/>
              <w:right w:val="single" w:color="000000" w:sz="4" w:space="0"/>
            </w:tcBorders>
            <w:noWrap w:val="0"/>
            <w:vAlign w:val="center"/>
          </w:tcPr>
          <w:p w14:paraId="3BCF879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花灌木（5分）</w:t>
            </w: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363F87A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1、花灌木管理到位（修剪、施肥等）确保景观效果良好，枝条密实均匀，无明显枯枝、断枝、病虫枝。</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4BEC0FE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47AF5601">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0C5D94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201E63AB">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35CC9AC5">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14586A6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2、叶色正常，无卷叶、黄叶，及时防治病虫害。病虫害防止不及时，造成蔓延，严重影响景观，每发现一处扣1分。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4A27D20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lang w:val="en-US"/>
              </w:rPr>
            </w:pPr>
            <w:r>
              <w:rPr>
                <w:rFonts w:hint="eastAsia" w:ascii="宋体" w:hAnsi="宋体" w:eastAsia="宋体" w:cs="宋体"/>
                <w:i w:val="0"/>
                <w:iCs w:val="0"/>
                <w:color w:val="auto"/>
                <w:kern w:val="0"/>
                <w:sz w:val="28"/>
                <w:szCs w:val="28"/>
                <w:highlight w:val="none"/>
                <w:u w:val="none"/>
                <w:lang w:val="en-US" w:eastAsia="zh-CN" w:bidi="ar"/>
              </w:rPr>
              <w:t>1.5</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2CC8EC2D">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1F13F0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1AC1DD49">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0CA7A36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0764FDF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3、修剪合理、及时，保证正常花期。</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480547F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lang w:val="en-US"/>
              </w:rPr>
            </w:pPr>
            <w:r>
              <w:rPr>
                <w:rFonts w:hint="eastAsia" w:ascii="宋体" w:hAnsi="宋体" w:eastAsia="宋体" w:cs="宋体"/>
                <w:i w:val="0"/>
                <w:iCs w:val="0"/>
                <w:color w:val="auto"/>
                <w:kern w:val="0"/>
                <w:sz w:val="28"/>
                <w:szCs w:val="28"/>
                <w:highlight w:val="none"/>
                <w:u w:val="none"/>
                <w:lang w:val="en-US" w:eastAsia="zh-CN" w:bidi="ar"/>
              </w:rPr>
              <w:t>1.5</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689CCDFC">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1A8906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restart"/>
            <w:tcBorders>
              <w:top w:val="single" w:color="000000" w:sz="4" w:space="0"/>
              <w:left w:val="single" w:color="000000" w:sz="4" w:space="0"/>
              <w:bottom w:val="single" w:color="000000" w:sz="4" w:space="0"/>
              <w:right w:val="single" w:color="000000" w:sz="4" w:space="0"/>
            </w:tcBorders>
            <w:noWrap w:val="0"/>
            <w:vAlign w:val="center"/>
          </w:tcPr>
          <w:p w14:paraId="20B77C3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8</w:t>
            </w:r>
          </w:p>
        </w:tc>
        <w:tc>
          <w:tcPr>
            <w:tcW w:w="677" w:type="pct"/>
            <w:vMerge w:val="restart"/>
            <w:tcBorders>
              <w:top w:val="single" w:color="000000" w:sz="4" w:space="0"/>
              <w:left w:val="single" w:color="000000" w:sz="4" w:space="0"/>
              <w:bottom w:val="single" w:color="000000" w:sz="4" w:space="0"/>
              <w:right w:val="single" w:color="000000" w:sz="4" w:space="0"/>
            </w:tcBorders>
            <w:noWrap w:val="0"/>
            <w:vAlign w:val="center"/>
          </w:tcPr>
          <w:p w14:paraId="772C97D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浇水（3分）</w:t>
            </w: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2B7DF21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1、夏季一周无雨，组织抗旱浇水，其他季节10天无雨，组织抗旱浇水。</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0FDF505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618F2772">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7EE33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0CD681E4">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0F4339EF">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49E9259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color w:val="auto"/>
                <w:kern w:val="2"/>
                <w:sz w:val="28"/>
                <w:szCs w:val="28"/>
                <w:highlight w:val="none"/>
                <w:u w:val="none"/>
                <w:lang w:val="en-US" w:eastAsia="zh-CN" w:bidi="ar"/>
              </w:rPr>
              <w:t>2、花坛及节日布花，无杂草、无死株、无空秃、残花率超过70%及时撤除，时时观察，不得倒蔫。每发现一处扣0.5分。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1CE7DCB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6EFB22C4">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3640E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5A98349F">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4D3C9C48">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034EAD9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3、新植植株，灌水、补水及时。</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007ED68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1B7290D3">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041A2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restart"/>
            <w:tcBorders>
              <w:top w:val="single" w:color="000000" w:sz="4" w:space="0"/>
              <w:left w:val="single" w:color="000000" w:sz="4" w:space="0"/>
              <w:bottom w:val="single" w:color="000000" w:sz="4" w:space="0"/>
              <w:right w:val="single" w:color="000000" w:sz="4" w:space="0"/>
            </w:tcBorders>
            <w:noWrap w:val="0"/>
            <w:vAlign w:val="center"/>
          </w:tcPr>
          <w:p w14:paraId="0097C0E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9</w:t>
            </w:r>
          </w:p>
        </w:tc>
        <w:tc>
          <w:tcPr>
            <w:tcW w:w="677" w:type="pct"/>
            <w:vMerge w:val="restart"/>
            <w:tcBorders>
              <w:top w:val="single" w:color="000000" w:sz="4" w:space="0"/>
              <w:left w:val="single" w:color="000000" w:sz="4" w:space="0"/>
              <w:bottom w:val="single" w:color="000000" w:sz="4" w:space="0"/>
              <w:right w:val="single" w:color="000000" w:sz="4" w:space="0"/>
            </w:tcBorders>
            <w:noWrap w:val="0"/>
            <w:vAlign w:val="center"/>
          </w:tcPr>
          <w:p w14:paraId="55EB98F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施肥（1.5分）</w:t>
            </w: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13E4924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1、上报施肥计划，全年观花植物、色块、草坪必须全面施肥一次。</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35C0E61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lang w:val="en-US"/>
              </w:rPr>
            </w:pPr>
            <w:r>
              <w:rPr>
                <w:rFonts w:hint="eastAsia" w:ascii="宋体" w:hAnsi="宋体" w:eastAsia="宋体" w:cs="宋体"/>
                <w:i w:val="0"/>
                <w:iCs w:val="0"/>
                <w:color w:val="auto"/>
                <w:kern w:val="0"/>
                <w:sz w:val="28"/>
                <w:szCs w:val="28"/>
                <w:highlight w:val="none"/>
                <w:u w:val="none"/>
                <w:lang w:val="en-US" w:eastAsia="zh-CN" w:bidi="ar"/>
              </w:rPr>
              <w:t>0.5</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5D81F0A0">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23A2D1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06F4D186">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1AA2B7C3">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6FF54C4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2、施肥时有记录、有甲方监督。</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720BEA4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523A4443">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4BF5D3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restart"/>
            <w:tcBorders>
              <w:top w:val="single" w:color="000000" w:sz="4" w:space="0"/>
              <w:left w:val="single" w:color="000000" w:sz="4" w:space="0"/>
              <w:bottom w:val="single" w:color="000000" w:sz="4" w:space="0"/>
              <w:right w:val="single" w:color="000000" w:sz="4" w:space="0"/>
            </w:tcBorders>
            <w:noWrap w:val="0"/>
            <w:vAlign w:val="center"/>
          </w:tcPr>
          <w:p w14:paraId="7344313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10</w:t>
            </w:r>
          </w:p>
        </w:tc>
        <w:tc>
          <w:tcPr>
            <w:tcW w:w="677" w:type="pct"/>
            <w:vMerge w:val="restart"/>
            <w:tcBorders>
              <w:top w:val="single" w:color="000000" w:sz="4" w:space="0"/>
              <w:left w:val="single" w:color="000000" w:sz="4" w:space="0"/>
              <w:bottom w:val="single" w:color="000000" w:sz="4" w:space="0"/>
              <w:right w:val="single" w:color="000000" w:sz="4" w:space="0"/>
            </w:tcBorders>
            <w:noWrap w:val="0"/>
            <w:vAlign w:val="center"/>
          </w:tcPr>
          <w:p w14:paraId="319937D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补植苗木养护（1.5分）</w:t>
            </w: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22F9CDA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1、浇水及时。</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2DD52F4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lang w:val="en-US"/>
              </w:rPr>
            </w:pPr>
            <w:r>
              <w:rPr>
                <w:rFonts w:hint="eastAsia" w:ascii="宋体" w:hAnsi="宋体" w:eastAsia="宋体" w:cs="宋体"/>
                <w:i w:val="0"/>
                <w:iCs w:val="0"/>
                <w:color w:val="auto"/>
                <w:kern w:val="0"/>
                <w:sz w:val="28"/>
                <w:szCs w:val="28"/>
                <w:highlight w:val="none"/>
                <w:u w:val="none"/>
                <w:lang w:val="en-US" w:eastAsia="zh-CN" w:bidi="ar"/>
              </w:rPr>
              <w:t>0.5</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41556491">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5A4BA3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64FF71BB">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3D8C2A69">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1AEB064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2、除草、修剪及时。</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14D9D3D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lang w:val="en-US"/>
              </w:rPr>
            </w:pPr>
            <w:r>
              <w:rPr>
                <w:rFonts w:hint="eastAsia" w:ascii="宋体" w:hAnsi="宋体" w:eastAsia="宋体" w:cs="宋体"/>
                <w:i w:val="0"/>
                <w:iCs w:val="0"/>
                <w:color w:val="auto"/>
                <w:kern w:val="0"/>
                <w:sz w:val="28"/>
                <w:szCs w:val="28"/>
                <w:highlight w:val="none"/>
                <w:u w:val="none"/>
                <w:lang w:val="en-US" w:eastAsia="zh-CN" w:bidi="ar"/>
              </w:rPr>
              <w:t>0.5</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14E71AE9">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788B8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381" w:type="pct"/>
            <w:vMerge w:val="continue"/>
            <w:tcBorders>
              <w:top w:val="single" w:color="000000" w:sz="4" w:space="0"/>
              <w:left w:val="single" w:color="000000" w:sz="4" w:space="0"/>
              <w:bottom w:val="single" w:color="000000" w:sz="4" w:space="0"/>
              <w:right w:val="single" w:color="000000" w:sz="4" w:space="0"/>
            </w:tcBorders>
            <w:noWrap w:val="0"/>
            <w:vAlign w:val="center"/>
          </w:tcPr>
          <w:p w14:paraId="347FD72D">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6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33F06AFF">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3150" w:type="pct"/>
            <w:tcBorders>
              <w:top w:val="single" w:color="000000" w:sz="4" w:space="0"/>
              <w:left w:val="single" w:color="000000" w:sz="4" w:space="0"/>
              <w:bottom w:val="single" w:color="000000" w:sz="4" w:space="0"/>
              <w:right w:val="single" w:color="000000" w:sz="4" w:space="0"/>
            </w:tcBorders>
            <w:noWrap w:val="0"/>
            <w:vAlign w:val="center"/>
          </w:tcPr>
          <w:p w14:paraId="7A5D1A0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3、管护、补植积极。</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353DFDF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lang w:val="en-US"/>
              </w:rPr>
            </w:pPr>
            <w:r>
              <w:rPr>
                <w:rFonts w:hint="eastAsia" w:ascii="宋体" w:hAnsi="宋体" w:eastAsia="宋体" w:cs="宋体"/>
                <w:i w:val="0"/>
                <w:iCs w:val="0"/>
                <w:color w:val="auto"/>
                <w:kern w:val="0"/>
                <w:sz w:val="28"/>
                <w:szCs w:val="28"/>
                <w:highlight w:val="none"/>
                <w:u w:val="none"/>
                <w:lang w:val="en-US" w:eastAsia="zh-CN" w:bidi="ar"/>
              </w:rPr>
              <w:t>0.5</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1F2966A5">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r w14:paraId="09AF0D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1059" w:type="pct"/>
            <w:gridSpan w:val="2"/>
            <w:tcBorders>
              <w:top w:val="single" w:color="000000" w:sz="4" w:space="0"/>
              <w:left w:val="single" w:color="000000" w:sz="4" w:space="0"/>
              <w:bottom w:val="single" w:color="000000" w:sz="4" w:space="0"/>
              <w:right w:val="single" w:color="000000" w:sz="4" w:space="0"/>
            </w:tcBorders>
            <w:noWrap/>
            <w:vAlign w:val="center"/>
          </w:tcPr>
          <w:p w14:paraId="2061055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考核人：</w:t>
            </w:r>
          </w:p>
        </w:tc>
        <w:tc>
          <w:tcPr>
            <w:tcW w:w="3150" w:type="pct"/>
            <w:tcBorders>
              <w:top w:val="single" w:color="000000" w:sz="4" w:space="0"/>
              <w:left w:val="single" w:color="000000" w:sz="4" w:space="0"/>
              <w:bottom w:val="single" w:color="000000" w:sz="4" w:space="0"/>
              <w:right w:val="single" w:color="000000" w:sz="4" w:space="0"/>
            </w:tcBorders>
            <w:noWrap/>
            <w:vAlign w:val="center"/>
          </w:tcPr>
          <w:p w14:paraId="3E1BA276">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auto"/>
                <w:kern w:val="2"/>
                <w:sz w:val="28"/>
                <w:szCs w:val="28"/>
                <w:highlight w:val="none"/>
                <w:u w:val="none"/>
              </w:rPr>
            </w:pPr>
          </w:p>
        </w:tc>
        <w:tc>
          <w:tcPr>
            <w:tcW w:w="406" w:type="pct"/>
            <w:tcBorders>
              <w:top w:val="single" w:color="000000" w:sz="4" w:space="0"/>
              <w:left w:val="single" w:color="000000" w:sz="4" w:space="0"/>
              <w:bottom w:val="single" w:color="000000" w:sz="4" w:space="0"/>
              <w:right w:val="single" w:color="000000" w:sz="4" w:space="0"/>
            </w:tcBorders>
            <w:noWrap/>
            <w:vAlign w:val="center"/>
          </w:tcPr>
          <w:p w14:paraId="02FA081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kern w:val="2"/>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合计</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66A30E95">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kern w:val="2"/>
                <w:sz w:val="28"/>
                <w:szCs w:val="28"/>
                <w:highlight w:val="none"/>
                <w:u w:val="none"/>
              </w:rPr>
            </w:pPr>
          </w:p>
        </w:tc>
      </w:tr>
    </w:tbl>
    <w:p w14:paraId="237A2A30">
      <w:pPr>
        <w:keepNext w:val="0"/>
        <w:keepLines w:val="0"/>
        <w:pageBreakBefore w:val="0"/>
        <w:kinsoku/>
        <w:wordWrap/>
        <w:overflowPunct/>
        <w:topLinePunct w:val="0"/>
        <w:autoSpaceDE/>
        <w:autoSpaceDN/>
        <w:bidi w:val="0"/>
        <w:adjustRightInd/>
        <w:snapToGrid/>
        <w:spacing w:line="360" w:lineRule="auto"/>
        <w:ind w:left="2" w:leftChars="1" w:firstLine="560" w:firstLineChars="200"/>
        <w:rPr>
          <w:rFonts w:hint="eastAsia" w:ascii="宋体" w:hAnsi="宋体" w:eastAsia="宋体" w:cs="宋体"/>
          <w:color w:val="auto"/>
          <w:kern w:val="2"/>
          <w:sz w:val="28"/>
          <w:szCs w:val="28"/>
          <w:highlight w:val="none"/>
          <w:lang w:val="en-US" w:eastAsia="zh-CN"/>
        </w:rPr>
      </w:pPr>
    </w:p>
    <w:p w14:paraId="7C12F972">
      <w:pPr>
        <w:pageBreakBefore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color w:val="auto"/>
          <w:sz w:val="24"/>
          <w:szCs w:val="24"/>
          <w:highlight w:val="none"/>
          <w:lang w:val="en-US" w:eastAsia="zh-CN"/>
        </w:rPr>
      </w:pPr>
    </w:p>
    <w:p w14:paraId="6D998469">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color w:val="auto"/>
          <w:sz w:val="36"/>
          <w:highlight w:val="none"/>
        </w:rPr>
      </w:pPr>
    </w:p>
    <w:p w14:paraId="52959C25">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color w:val="auto"/>
          <w:sz w:val="36"/>
          <w:highlight w:val="none"/>
        </w:rPr>
      </w:pPr>
    </w:p>
    <w:p w14:paraId="65B15D7F">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color w:val="auto"/>
          <w:sz w:val="36"/>
          <w:highlight w:val="none"/>
        </w:rPr>
      </w:pPr>
    </w:p>
    <w:p w14:paraId="3C1BEA27">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color w:val="auto"/>
          <w:sz w:val="36"/>
          <w:highlight w:val="none"/>
        </w:rPr>
      </w:pPr>
    </w:p>
    <w:p w14:paraId="18A51975">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color w:val="auto"/>
          <w:sz w:val="36"/>
          <w:highlight w:val="none"/>
        </w:rPr>
      </w:pPr>
    </w:p>
    <w:p w14:paraId="05745E54">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color w:val="auto"/>
          <w:sz w:val="36"/>
          <w:highlight w:val="none"/>
        </w:rPr>
      </w:pPr>
    </w:p>
    <w:p w14:paraId="57EBB65E">
      <w:pPr>
        <w:pageBreakBefore w:val="0"/>
        <w:kinsoku/>
        <w:wordWrap/>
        <w:overflowPunct/>
        <w:topLinePunct w:val="0"/>
        <w:autoSpaceDE/>
        <w:autoSpaceDN/>
        <w:bidi w:val="0"/>
        <w:adjustRightInd/>
        <w:snapToGrid/>
        <w:spacing w:line="360" w:lineRule="auto"/>
        <w:ind w:left="560"/>
        <w:jc w:val="center"/>
        <w:textAlignment w:val="auto"/>
        <w:outlineLvl w:val="0"/>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第六章 响应文件格式及附件</w:t>
      </w:r>
    </w:p>
    <w:p w14:paraId="04C33907">
      <w:pPr>
        <w:pageBreakBefore w:val="0"/>
        <w:kinsoku/>
        <w:wordWrap/>
        <w:overflowPunct/>
        <w:topLinePunct w:val="0"/>
        <w:autoSpaceDE/>
        <w:autoSpaceDN/>
        <w:bidi w:val="0"/>
        <w:adjustRightInd/>
        <w:snapToGrid/>
        <w:spacing w:line="360" w:lineRule="auto"/>
        <w:ind w:left="560"/>
        <w:jc w:val="center"/>
        <w:textAlignment w:val="auto"/>
        <w:outlineLvl w:val="9"/>
        <w:rPr>
          <w:rFonts w:hint="eastAsia" w:ascii="宋体" w:hAnsi="宋体" w:eastAsia="宋体" w:cs="宋体"/>
          <w:b/>
          <w:bCs/>
          <w:color w:val="auto"/>
          <w:sz w:val="36"/>
          <w:szCs w:val="36"/>
          <w:highlight w:val="none"/>
        </w:rPr>
      </w:pPr>
    </w:p>
    <w:p w14:paraId="6D5A75CF">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72"/>
          <w:highlight w:val="none"/>
        </w:rPr>
      </w:pPr>
    </w:p>
    <w:p w14:paraId="13D0C204">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t>响应文件</w:t>
      </w:r>
    </w:p>
    <w:p w14:paraId="100DAE79">
      <w:pPr>
        <w:pageBreakBefore w:val="0"/>
        <w:kinsoku/>
        <w:wordWrap/>
        <w:overflowPunct/>
        <w:topLinePunct w:val="0"/>
        <w:autoSpaceDE/>
        <w:autoSpaceDN/>
        <w:bidi w:val="0"/>
        <w:adjustRightInd/>
        <w:snapToGrid/>
        <w:spacing w:line="360" w:lineRule="auto"/>
        <w:ind w:firstLine="3708"/>
        <w:textAlignment w:val="auto"/>
        <w:rPr>
          <w:rFonts w:hint="eastAsia" w:ascii="宋体" w:hAnsi="宋体" w:eastAsia="宋体" w:cs="宋体"/>
          <w:b/>
          <w:color w:val="auto"/>
          <w:sz w:val="36"/>
          <w:highlight w:val="none"/>
        </w:rPr>
      </w:pPr>
    </w:p>
    <w:p w14:paraId="22AD7545">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72"/>
          <w:highlight w:val="none"/>
        </w:rPr>
      </w:pPr>
    </w:p>
    <w:p w14:paraId="02480CAA">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36"/>
          <w:highlight w:val="none"/>
        </w:rPr>
      </w:pPr>
    </w:p>
    <w:p w14:paraId="54FAAF07">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36"/>
          <w:highlight w:val="none"/>
        </w:rPr>
      </w:pPr>
    </w:p>
    <w:p w14:paraId="758FAA9B">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36"/>
          <w:highlight w:val="none"/>
        </w:rPr>
      </w:pPr>
    </w:p>
    <w:p w14:paraId="049A31D8">
      <w:pPr>
        <w:pageBreakBefore w:val="0"/>
        <w:kinsoku/>
        <w:wordWrap/>
        <w:overflowPunct/>
        <w:topLinePunct w:val="0"/>
        <w:autoSpaceDE/>
        <w:autoSpaceDN/>
        <w:bidi w:val="0"/>
        <w:adjustRightInd/>
        <w:snapToGrid/>
        <w:spacing w:line="360" w:lineRule="auto"/>
        <w:ind w:firstLine="1084"/>
        <w:textAlignment w:val="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编号： </w:t>
      </w:r>
      <w:r>
        <w:rPr>
          <w:rFonts w:hint="eastAsia" w:ascii="宋体" w:hAnsi="宋体" w:eastAsia="宋体" w:cs="宋体"/>
          <w:b/>
          <w:color w:val="auto"/>
          <w:sz w:val="36"/>
          <w:highlight w:val="none"/>
          <w:u w:val="single"/>
        </w:rPr>
        <w:t xml:space="preserve">               </w:t>
      </w:r>
    </w:p>
    <w:p w14:paraId="0903A443">
      <w:pPr>
        <w:pageBreakBefore w:val="0"/>
        <w:kinsoku/>
        <w:wordWrap/>
        <w:overflowPunct/>
        <w:topLinePunct w:val="0"/>
        <w:autoSpaceDE/>
        <w:autoSpaceDN/>
        <w:bidi w:val="0"/>
        <w:adjustRightInd/>
        <w:snapToGrid/>
        <w:spacing w:line="360" w:lineRule="auto"/>
        <w:ind w:firstLine="1084"/>
        <w:textAlignment w:val="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名称： </w:t>
      </w:r>
      <w:r>
        <w:rPr>
          <w:rFonts w:hint="eastAsia" w:ascii="宋体" w:hAnsi="宋体" w:eastAsia="宋体" w:cs="宋体"/>
          <w:b/>
          <w:color w:val="auto"/>
          <w:sz w:val="36"/>
          <w:highlight w:val="none"/>
          <w:u w:val="single"/>
        </w:rPr>
        <w:t xml:space="preserve">               </w:t>
      </w:r>
    </w:p>
    <w:p w14:paraId="42B294F1">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供应商名称 ：</w:t>
      </w:r>
      <w:r>
        <w:rPr>
          <w:rFonts w:hint="eastAsia" w:ascii="宋体" w:hAnsi="宋体" w:eastAsia="宋体" w:cs="宋体"/>
          <w:b/>
          <w:color w:val="auto"/>
          <w:sz w:val="36"/>
          <w:highlight w:val="none"/>
          <w:u w:val="single"/>
        </w:rPr>
        <w:t xml:space="preserve">               </w:t>
      </w:r>
    </w:p>
    <w:p w14:paraId="4AFD6A7B">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p>
    <w:p w14:paraId="397A10C0">
      <w:pPr>
        <w:pageBreakBefore w:val="0"/>
        <w:kinsoku/>
        <w:wordWrap/>
        <w:overflowPunct/>
        <w:topLinePunct w:val="0"/>
        <w:autoSpaceDE/>
        <w:autoSpaceDN/>
        <w:bidi w:val="0"/>
        <w:adjustRightInd/>
        <w:snapToGrid/>
        <w:spacing w:line="360" w:lineRule="auto"/>
        <w:ind w:left="210" w:right="567" w:firstLine="482"/>
        <w:jc w:val="center"/>
        <w:textAlignment w:val="auto"/>
        <w:rPr>
          <w:rFonts w:hint="eastAsia" w:ascii="宋体" w:hAnsi="宋体" w:eastAsia="宋体" w:cs="宋体"/>
          <w:b/>
          <w:bCs/>
          <w:color w:val="auto"/>
          <w:sz w:val="24"/>
          <w:szCs w:val="32"/>
          <w:highlight w:val="none"/>
        </w:rPr>
      </w:pPr>
    </w:p>
    <w:p w14:paraId="0CE17E21">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8"/>
          <w:szCs w:val="28"/>
          <w:highlight w:val="none"/>
        </w:rPr>
      </w:pPr>
    </w:p>
    <w:p w14:paraId="249F1C06">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8"/>
          <w:szCs w:val="28"/>
          <w:highlight w:val="none"/>
        </w:rPr>
      </w:pPr>
    </w:p>
    <w:p w14:paraId="0CE43013">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目录一、谈判申请及声明</w:t>
      </w:r>
    </w:p>
    <w:p w14:paraId="5E70917B">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谈判申请及声明</w:t>
      </w:r>
    </w:p>
    <w:p w14:paraId="5280003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致：</w:t>
      </w:r>
    </w:p>
    <w:p w14:paraId="6122962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根据贵方</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（项目名称）</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（项目编号）谈判邀请，我方授权</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(姓名和职务)代表</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（供应商名称）提交响应文件并参加谈判，特声明如下：</w:t>
      </w:r>
    </w:p>
    <w:p w14:paraId="493235F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1.我方的资格条件符合政府采购法和本次谈判要求，</w:t>
      </w:r>
      <w:r>
        <w:rPr>
          <w:rFonts w:hint="eastAsia" w:ascii="宋体" w:hAnsi="宋体" w:eastAsia="宋体" w:cs="宋体"/>
          <w:color w:val="auto"/>
          <w:sz w:val="28"/>
          <w:szCs w:val="28"/>
          <w:highlight w:val="none"/>
          <w:lang w:val="en-US"/>
        </w:rPr>
        <w:t>我方</w:t>
      </w:r>
      <w:r>
        <w:rPr>
          <w:rFonts w:hint="eastAsia" w:ascii="宋体" w:hAnsi="宋体" w:eastAsia="宋体" w:cs="宋体"/>
          <w:color w:val="auto"/>
          <w:sz w:val="28"/>
          <w:szCs w:val="28"/>
          <w:highlight w:val="none"/>
        </w:rPr>
        <w:t>同意并向贵方提供了与谈判有关的所有证据和资料。</w:t>
      </w:r>
    </w:p>
    <w:p w14:paraId="49EB2E0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rPr>
        <w:t>2.</w:t>
      </w:r>
      <w:r>
        <w:rPr>
          <w:rFonts w:hint="eastAsia" w:ascii="宋体" w:hAnsi="宋体" w:eastAsia="宋体" w:cs="宋体"/>
          <w:color w:val="auto"/>
          <w:sz w:val="28"/>
          <w:szCs w:val="28"/>
          <w:highlight w:val="none"/>
        </w:rPr>
        <w:t>我方的</w:t>
      </w:r>
      <w:r>
        <w:rPr>
          <w:rFonts w:hint="eastAsia" w:ascii="宋体" w:hAnsi="宋体" w:eastAsia="宋体" w:cs="宋体"/>
          <w:color w:val="auto"/>
          <w:sz w:val="28"/>
          <w:szCs w:val="28"/>
          <w:highlight w:val="none"/>
          <w:lang w:val="en-US"/>
        </w:rPr>
        <w:t>报价总金额为</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lang w:val="en-US"/>
        </w:rPr>
        <w:t>元</w:t>
      </w:r>
      <w:r>
        <w:rPr>
          <w:rFonts w:hint="eastAsia" w:ascii="宋体" w:hAnsi="宋体" w:eastAsia="宋体" w:cs="宋体"/>
          <w:b/>
          <w:bCs/>
          <w:color w:val="auto"/>
          <w:sz w:val="28"/>
          <w:szCs w:val="28"/>
          <w:highlight w:val="none"/>
        </w:rPr>
        <w:t>。</w:t>
      </w:r>
    </w:p>
    <w:p w14:paraId="21A2F8E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3.我方参加本次采购活动前三年内，在经营活动中没有重大违法记录。</w:t>
      </w:r>
    </w:p>
    <w:p w14:paraId="0F5318C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4.我方参加本次采购活动前，没有被信用中国网站、中国政府采购网站列入失信被执行人名单、重大税收违法案件当事人名单、政府采购严重违法失信行为记录名单。</w:t>
      </w:r>
    </w:p>
    <w:p w14:paraId="77AB5D5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5.我方在全国范围内未受过财政部门禁止参加政府采购活动的处罚，或禁止参加政府采购活动的处罚期限已满。</w:t>
      </w:r>
    </w:p>
    <w:p w14:paraId="1D704FF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6.我方没有为本采购项目提供整体设计、规范编制，以及项目管理、监理、检测等服务。</w:t>
      </w:r>
    </w:p>
    <w:p w14:paraId="7D08363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7.我方与参与本次采购活动的其他供应商的授权代理人(或法定代表人、项目经理、项目总监、项目负责人等)，在谈判文件发布日上月至提交响应文件截止日当月未在同一单位缴纳社会保险。</w:t>
      </w:r>
    </w:p>
    <w:p w14:paraId="4EAAE4B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8.我方与参与本次采购活动的其他供应商的法定代表人或委托代理人无夫妻、直系血亲关系。</w:t>
      </w:r>
    </w:p>
    <w:p w14:paraId="697E1A0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9.我方与参与本次采购活动的其他供应商的负责人不是同一人，也不存在直接控股、管理关系。</w:t>
      </w:r>
    </w:p>
    <w:p w14:paraId="6D2E1CF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10.我方已详细审阅全部谈判文件及其有效补充文件，放弃对谈判文件任何误解的权利，提交响应文件后，不对谈判文件本身提出质疑。否则，属于不诚信和故意扰乱政府采购活动行为，我们将无条件接受处罚。</w:t>
      </w:r>
    </w:p>
    <w:p w14:paraId="66785D2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11.一旦我方成交，将根据谈判文件的规定严格履行合同，并保证按承诺的时间完成服务的启动/集成、调试等服务，交付采购人验收、使用。</w:t>
      </w:r>
    </w:p>
    <w:p w14:paraId="05CC459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12.我方决不提供虚假材料谋取成交、决不采取不正当手段诋毁、排挤其他供应商、决不与采购人、其它供应商或者</w:t>
      </w:r>
      <w:r>
        <w:rPr>
          <w:rFonts w:hint="eastAsia" w:ascii="宋体" w:hAnsi="宋体" w:eastAsia="宋体" w:cs="宋体"/>
          <w:color w:val="auto"/>
          <w:sz w:val="28"/>
          <w:szCs w:val="28"/>
          <w:highlight w:val="none"/>
          <w:lang w:val="en-US"/>
        </w:rPr>
        <w:t>招标代理公司</w:t>
      </w:r>
      <w:r>
        <w:rPr>
          <w:rFonts w:hint="eastAsia" w:ascii="宋体" w:hAnsi="宋体" w:eastAsia="宋体" w:cs="宋体"/>
          <w:color w:val="auto"/>
          <w:sz w:val="28"/>
          <w:szCs w:val="28"/>
          <w:highlight w:val="none"/>
        </w:rPr>
        <w:t>恶意串通、决不向采购人、</w:t>
      </w:r>
      <w:r>
        <w:rPr>
          <w:rFonts w:hint="eastAsia" w:ascii="宋体" w:hAnsi="宋体" w:eastAsia="宋体" w:cs="宋体"/>
          <w:color w:val="auto"/>
          <w:sz w:val="28"/>
          <w:szCs w:val="28"/>
          <w:highlight w:val="none"/>
          <w:lang w:val="en-US"/>
        </w:rPr>
        <w:t>招标代理公司</w:t>
      </w:r>
      <w:r>
        <w:rPr>
          <w:rFonts w:hint="eastAsia" w:ascii="宋体" w:hAnsi="宋体" w:eastAsia="宋体" w:cs="宋体"/>
          <w:color w:val="auto"/>
          <w:sz w:val="28"/>
          <w:szCs w:val="28"/>
          <w:highlight w:val="none"/>
        </w:rPr>
        <w:t>工作人员和谈判小组进行商业贿赂、决不拒绝有关部门监督检查或提供虚假情况，如有违反，无条件接受贵方及相关管理部门的处罚。</w:t>
      </w:r>
    </w:p>
    <w:p w14:paraId="3AC5AD7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13.与本次谈判有关的联系方式为：</w:t>
      </w:r>
    </w:p>
    <w:p w14:paraId="5DB6680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地    址：</w:t>
      </w:r>
      <w:r>
        <w:rPr>
          <w:rFonts w:hint="eastAsia" w:ascii="宋体" w:hAnsi="宋体" w:eastAsia="宋体" w:cs="宋体"/>
          <w:color w:val="auto"/>
          <w:sz w:val="28"/>
          <w:szCs w:val="28"/>
          <w:highlight w:val="none"/>
          <w:u w:val="single"/>
        </w:rPr>
        <w:t xml:space="preserve">                           </w:t>
      </w:r>
    </w:p>
    <w:p w14:paraId="799E67B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电    话：</w:t>
      </w:r>
      <w:r>
        <w:rPr>
          <w:rFonts w:hint="eastAsia" w:ascii="宋体" w:hAnsi="宋体" w:eastAsia="宋体" w:cs="宋体"/>
          <w:color w:val="auto"/>
          <w:sz w:val="28"/>
          <w:szCs w:val="28"/>
          <w:highlight w:val="none"/>
          <w:u w:val="single"/>
        </w:rPr>
        <w:t xml:space="preserve">                           </w:t>
      </w:r>
    </w:p>
    <w:p w14:paraId="4DA98C2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传    真：</w:t>
      </w:r>
      <w:r>
        <w:rPr>
          <w:rFonts w:hint="eastAsia" w:ascii="宋体" w:hAnsi="宋体" w:eastAsia="宋体" w:cs="宋体"/>
          <w:color w:val="auto"/>
          <w:sz w:val="28"/>
          <w:szCs w:val="28"/>
          <w:highlight w:val="none"/>
          <w:u w:val="single"/>
        </w:rPr>
        <w:t xml:space="preserve">                           </w:t>
      </w:r>
    </w:p>
    <w:p w14:paraId="2C1AE9A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开户银行：</w:t>
      </w:r>
      <w:r>
        <w:rPr>
          <w:rFonts w:hint="eastAsia" w:ascii="宋体" w:hAnsi="宋体" w:eastAsia="宋体" w:cs="宋体"/>
          <w:color w:val="auto"/>
          <w:sz w:val="28"/>
          <w:szCs w:val="28"/>
          <w:highlight w:val="none"/>
          <w:u w:val="single"/>
        </w:rPr>
        <w:t xml:space="preserve">                          </w:t>
      </w:r>
    </w:p>
    <w:p w14:paraId="3DD5174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银行帐号：</w:t>
      </w:r>
      <w:r>
        <w:rPr>
          <w:rFonts w:hint="eastAsia" w:ascii="宋体" w:hAnsi="宋体" w:eastAsia="宋体" w:cs="宋体"/>
          <w:color w:val="auto"/>
          <w:sz w:val="28"/>
          <w:szCs w:val="28"/>
          <w:highlight w:val="none"/>
          <w:u w:val="single"/>
        </w:rPr>
        <w:t xml:space="preserve">                          </w:t>
      </w:r>
    </w:p>
    <w:p w14:paraId="3F1C717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授权代表姓名（签字）：</w:t>
      </w:r>
      <w:r>
        <w:rPr>
          <w:rFonts w:hint="eastAsia" w:ascii="宋体" w:hAnsi="宋体" w:eastAsia="宋体" w:cs="宋体"/>
          <w:color w:val="auto"/>
          <w:sz w:val="28"/>
          <w:szCs w:val="28"/>
          <w:highlight w:val="none"/>
          <w:u w:val="single"/>
        </w:rPr>
        <w:t xml:space="preserve">         </w:t>
      </w:r>
    </w:p>
    <w:p w14:paraId="7934A0D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供应商名称（盖章）：</w:t>
      </w:r>
      <w:r>
        <w:rPr>
          <w:rFonts w:hint="eastAsia" w:ascii="宋体" w:hAnsi="宋体" w:eastAsia="宋体" w:cs="宋体"/>
          <w:color w:val="auto"/>
          <w:sz w:val="28"/>
          <w:szCs w:val="28"/>
          <w:highlight w:val="none"/>
          <w:u w:val="single"/>
        </w:rPr>
        <w:t xml:space="preserve">            </w:t>
      </w:r>
    </w:p>
    <w:p w14:paraId="7F28136E">
      <w:pPr>
        <w:pStyle w:val="214"/>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    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4055C013">
      <w:pPr>
        <w:keepNext w:val="0"/>
        <w:keepLines w:val="0"/>
        <w:pageBreakBefore w:val="0"/>
        <w:widowControl w:val="0"/>
        <w:kinsoku/>
        <w:wordWrap/>
        <w:overflowPunct/>
        <w:topLinePunct w:val="0"/>
        <w:autoSpaceDE/>
        <w:autoSpaceDN/>
        <w:bidi w:val="0"/>
        <w:adjustRightInd/>
        <w:snapToGrid/>
        <w:spacing w:line="360" w:lineRule="auto"/>
        <w:ind w:right="567" w:firstLine="241"/>
        <w:textAlignment w:val="auto"/>
        <w:rPr>
          <w:rFonts w:hint="eastAsia" w:ascii="宋体" w:hAnsi="宋体" w:eastAsia="宋体" w:cs="宋体"/>
          <w:b/>
          <w:bCs/>
          <w:color w:val="auto"/>
          <w:sz w:val="24"/>
          <w:szCs w:val="32"/>
          <w:highlight w:val="none"/>
        </w:rPr>
      </w:pPr>
      <w:r>
        <w:rPr>
          <w:rFonts w:hint="eastAsia" w:ascii="宋体" w:hAnsi="宋体" w:eastAsia="宋体" w:cs="宋体"/>
          <w:b/>
          <w:bCs/>
          <w:color w:val="auto"/>
          <w:sz w:val="28"/>
          <w:szCs w:val="28"/>
          <w:highlight w:val="none"/>
        </w:rPr>
        <w:br w:type="page" w:clear="all"/>
      </w:r>
      <w:r>
        <w:rPr>
          <w:rFonts w:hint="eastAsia" w:ascii="宋体" w:hAnsi="宋体" w:eastAsia="宋体" w:cs="宋体"/>
          <w:b/>
          <w:bCs/>
          <w:color w:val="auto"/>
          <w:sz w:val="24"/>
          <w:szCs w:val="32"/>
          <w:highlight w:val="none"/>
        </w:rPr>
        <w:t>二、法定代表人授权书格式</w:t>
      </w:r>
    </w:p>
    <w:p w14:paraId="2695188C">
      <w:pPr>
        <w:pageBreakBefore w:val="0"/>
        <w:kinsoku/>
        <w:wordWrap/>
        <w:overflowPunct/>
        <w:topLinePunct w:val="0"/>
        <w:autoSpaceDE/>
        <w:autoSpaceDN/>
        <w:bidi w:val="0"/>
        <w:adjustRightInd/>
        <w:snapToGrid/>
        <w:spacing w:line="360" w:lineRule="auto"/>
        <w:ind w:right="567" w:firstLine="21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法定代表人授权委托书</w:t>
      </w:r>
    </w:p>
    <w:p w14:paraId="4BC1BB87">
      <w:pPr>
        <w:pageBreakBefore w:val="0"/>
        <w:kinsoku/>
        <w:wordWrap/>
        <w:overflowPunct/>
        <w:topLinePunct w:val="0"/>
        <w:autoSpaceDE/>
        <w:autoSpaceDN/>
        <w:bidi w:val="0"/>
        <w:adjustRightInd/>
        <w:snapToGrid/>
        <w:spacing w:line="360" w:lineRule="auto"/>
        <w:ind w:right="567" w:firstLine="210"/>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p>
    <w:p w14:paraId="53B5751E">
      <w:pPr>
        <w:pageBreakBefore w:val="0"/>
        <w:kinsoku/>
        <w:wordWrap/>
        <w:overflowPunct/>
        <w:topLinePunct w:val="0"/>
        <w:autoSpaceDE/>
        <w:autoSpaceDN/>
        <w:bidi w:val="0"/>
        <w:adjustRightInd/>
        <w:snapToGrid/>
        <w:spacing w:line="360" w:lineRule="auto"/>
        <w:ind w:left="210" w:right="567" w:firstLine="42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本授权委托书声明：注册于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（供应商住址）的</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（供应商名称）法定代表人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（法定代表人姓名、职务）代表本公司授权在下面签字的</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供应商代表姓名、职务）为本公司的合法代理人，就贵方组织的</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（项目名称）</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（项目编号），以本公司名义处理一切与之有关的事务。</w:t>
      </w:r>
    </w:p>
    <w:p w14:paraId="583218C1">
      <w:pPr>
        <w:pageBreakBefore w:val="0"/>
        <w:kinsoku/>
        <w:wordWrap/>
        <w:overflowPunct/>
        <w:topLinePunct w:val="0"/>
        <w:autoSpaceDE/>
        <w:autoSpaceDN/>
        <w:bidi w:val="0"/>
        <w:adjustRightInd/>
        <w:snapToGrid/>
        <w:spacing w:line="360" w:lineRule="auto"/>
        <w:ind w:left="210" w:right="567" w:firstLine="42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本授权委托书于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日签字生效，特此声明。</w:t>
      </w:r>
    </w:p>
    <w:p w14:paraId="58829515">
      <w:pPr>
        <w:pageBreakBefore w:val="0"/>
        <w:kinsoku/>
        <w:wordWrap/>
        <w:overflowPunct/>
        <w:topLinePunct w:val="0"/>
        <w:autoSpaceDE/>
        <w:autoSpaceDN/>
        <w:bidi w:val="0"/>
        <w:adjustRightInd/>
        <w:snapToGrid/>
        <w:spacing w:line="360" w:lineRule="auto"/>
        <w:ind w:left="210" w:right="567" w:firstLine="42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p>
    <w:p w14:paraId="0970AF1B">
      <w:pPr>
        <w:pageBreakBefore w:val="0"/>
        <w:kinsoku/>
        <w:wordWrap/>
        <w:overflowPunct/>
        <w:topLinePunct w:val="0"/>
        <w:autoSpaceDE/>
        <w:autoSpaceDN/>
        <w:bidi w:val="0"/>
        <w:adjustRightInd/>
        <w:snapToGrid/>
        <w:spacing w:line="360" w:lineRule="auto"/>
        <w:ind w:left="210" w:right="567" w:firstLine="420"/>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 法定代表人签字：</w:t>
      </w:r>
      <w:r>
        <w:rPr>
          <w:rFonts w:hint="eastAsia" w:ascii="宋体" w:hAnsi="宋体" w:eastAsia="宋体" w:cs="宋体"/>
          <w:color w:val="auto"/>
          <w:sz w:val="28"/>
          <w:szCs w:val="28"/>
          <w:highlight w:val="none"/>
          <w:u w:val="single"/>
        </w:rPr>
        <w:t xml:space="preserve">           </w:t>
      </w:r>
    </w:p>
    <w:p w14:paraId="4880D3E3">
      <w:pPr>
        <w:pageBreakBefore w:val="0"/>
        <w:kinsoku/>
        <w:wordWrap/>
        <w:overflowPunct/>
        <w:topLinePunct w:val="0"/>
        <w:autoSpaceDE/>
        <w:autoSpaceDN/>
        <w:bidi w:val="0"/>
        <w:adjustRightInd/>
        <w:snapToGrid/>
        <w:spacing w:line="360" w:lineRule="auto"/>
        <w:ind w:left="210" w:right="567" w:firstLine="42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授权委托人签字：</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p>
    <w:p w14:paraId="4D83DF37">
      <w:pPr>
        <w:pageBreakBefore w:val="0"/>
        <w:tabs>
          <w:tab w:val="left" w:pos="1440"/>
        </w:tabs>
        <w:kinsoku/>
        <w:wordWrap/>
        <w:overflowPunct/>
        <w:topLinePunct w:val="0"/>
        <w:autoSpaceDE/>
        <w:autoSpaceDN/>
        <w:bidi w:val="0"/>
        <w:adjustRightInd/>
        <w:snapToGrid/>
        <w:spacing w:line="360" w:lineRule="auto"/>
        <w:ind w:left="210" w:right="567" w:firstLine="63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          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444D9547">
      <w:pPr>
        <w:pageBreakBefore w:val="0"/>
        <w:kinsoku/>
        <w:wordWrap/>
        <w:overflowPunct/>
        <w:topLinePunct w:val="0"/>
        <w:autoSpaceDE/>
        <w:autoSpaceDN/>
        <w:bidi w:val="0"/>
        <w:adjustRightInd/>
        <w:snapToGrid/>
        <w:spacing w:line="360" w:lineRule="auto"/>
        <w:ind w:left="210" w:right="567" w:firstLine="420"/>
        <w:textAlignment w:val="auto"/>
        <w:rPr>
          <w:rFonts w:hint="eastAsia" w:ascii="宋体" w:hAnsi="宋体" w:eastAsia="宋体" w:cs="宋体"/>
          <w:b/>
          <w:bCs/>
          <w:color w:val="auto"/>
          <w:sz w:val="28"/>
          <w:szCs w:val="28"/>
          <w:highlight w:val="none"/>
          <w:lang w:val="zh-CN"/>
        </w:rPr>
      </w:pPr>
    </w:p>
    <w:p w14:paraId="2278E626">
      <w:pPr>
        <w:pageBreakBefore w:val="0"/>
        <w:kinsoku/>
        <w:wordWrap/>
        <w:overflowPunct/>
        <w:topLinePunct w:val="0"/>
        <w:autoSpaceDE/>
        <w:autoSpaceDN/>
        <w:bidi w:val="0"/>
        <w:adjustRightInd/>
        <w:snapToGrid/>
        <w:spacing w:line="360" w:lineRule="auto"/>
        <w:ind w:left="210" w:right="567" w:firstLine="420"/>
        <w:textAlignment w:val="auto"/>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lang w:val="zh-CN"/>
        </w:rPr>
        <w:t>法人的身份证明的复印件：</w:t>
      </w:r>
    </w:p>
    <w:p w14:paraId="743BAEEA">
      <w:pPr>
        <w:pageBreakBefore w:val="0"/>
        <w:tabs>
          <w:tab w:val="left" w:pos="1440"/>
        </w:tabs>
        <w:kinsoku/>
        <w:wordWrap/>
        <w:overflowPunct/>
        <w:topLinePunct w:val="0"/>
        <w:autoSpaceDE/>
        <w:autoSpaceDN/>
        <w:bidi w:val="0"/>
        <w:adjustRightInd/>
        <w:snapToGrid/>
        <w:spacing w:line="360" w:lineRule="auto"/>
        <w:ind w:right="567" w:firstLine="630"/>
        <w:textAlignment w:val="auto"/>
        <w:rPr>
          <w:rFonts w:hint="eastAsia" w:ascii="宋体" w:hAnsi="宋体" w:eastAsia="宋体" w:cs="宋体"/>
          <w:color w:val="auto"/>
          <w:highlight w:val="none"/>
        </w:rPr>
      </w:pPr>
      <w:r>
        <w:rPr>
          <w:rFonts w:hint="eastAsia" w:ascii="宋体" w:hAnsi="宋体" w:eastAsia="宋体" w:cs="宋体"/>
          <w:b/>
          <w:bCs/>
          <w:color w:val="auto"/>
          <w:sz w:val="28"/>
          <w:szCs w:val="28"/>
          <w:highlight w:val="none"/>
          <w:lang w:val="zh-CN"/>
        </w:rPr>
        <w:t>代理人的身份证明文件的复印件：</w:t>
      </w:r>
      <w:r>
        <w:rPr>
          <w:rFonts w:hint="eastAsia" w:ascii="宋体" w:hAnsi="宋体" w:eastAsia="宋体" w:cs="宋体"/>
          <w:color w:val="auto"/>
          <w:sz w:val="28"/>
          <w:szCs w:val="28"/>
          <w:highlight w:val="none"/>
        </w:rPr>
        <w:br w:type="page" w:clear="all"/>
      </w:r>
      <w:r>
        <w:rPr>
          <w:rFonts w:hint="eastAsia" w:ascii="宋体" w:hAnsi="宋体" w:eastAsia="宋体" w:cs="宋体"/>
          <w:b/>
          <w:bCs/>
          <w:color w:val="auto"/>
          <w:highlight w:val="none"/>
        </w:rPr>
        <w:t>三、报价表格式</w:t>
      </w:r>
    </w:p>
    <w:tbl>
      <w:tblPr>
        <w:tblStyle w:val="29"/>
        <w:tblpPr w:leftFromText="180" w:rightFromText="180" w:vertAnchor="text" w:horzAnchor="page" w:tblpX="1531" w:tblpY="382"/>
        <w:tblW w:w="5312"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536"/>
        <w:gridCol w:w="2967"/>
        <w:gridCol w:w="1219"/>
        <w:gridCol w:w="1122"/>
        <w:gridCol w:w="1122"/>
        <w:gridCol w:w="2660"/>
      </w:tblGrid>
      <w:tr w14:paraId="3E3D2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14" w:hRule="atLeast"/>
        </w:trPr>
        <w:tc>
          <w:tcPr>
            <w:tcW w:w="536" w:type="dxa"/>
            <w:noWrap w:val="0"/>
            <w:vAlign w:val="center"/>
          </w:tcPr>
          <w:p w14:paraId="15838CBD">
            <w:pPr>
              <w:pageBreakBefore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序号</w:t>
            </w:r>
          </w:p>
        </w:tc>
        <w:tc>
          <w:tcPr>
            <w:tcW w:w="2968" w:type="dxa"/>
            <w:noWrap w:val="0"/>
            <w:vAlign w:val="center"/>
          </w:tcPr>
          <w:p w14:paraId="0C383A6A">
            <w:pPr>
              <w:pageBreakBefore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名</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val="zh-CN"/>
              </w:rPr>
              <w:t>称</w:t>
            </w:r>
          </w:p>
        </w:tc>
        <w:tc>
          <w:tcPr>
            <w:tcW w:w="1219" w:type="dxa"/>
            <w:noWrap w:val="0"/>
            <w:vAlign w:val="center"/>
          </w:tcPr>
          <w:p w14:paraId="75714B13">
            <w:pPr>
              <w:pageBreakBefore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zh-CN"/>
              </w:rPr>
              <w:t>报价（元）</w:t>
            </w:r>
          </w:p>
        </w:tc>
        <w:tc>
          <w:tcPr>
            <w:tcW w:w="1122" w:type="dxa"/>
            <w:noWrap w:val="0"/>
            <w:vAlign w:val="center"/>
          </w:tcPr>
          <w:p w14:paraId="1135FEB7">
            <w:pPr>
              <w:pageBreakBefore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其中</w:t>
            </w:r>
            <w:r>
              <w:rPr>
                <w:rFonts w:hint="eastAsia" w:ascii="宋体" w:hAnsi="宋体" w:eastAsia="宋体" w:cs="宋体"/>
                <w:b/>
                <w:color w:val="auto"/>
                <w:sz w:val="28"/>
                <w:szCs w:val="28"/>
                <w:highlight w:val="none"/>
              </w:rPr>
              <w:t>小、微型企业报价（元）</w:t>
            </w:r>
          </w:p>
        </w:tc>
        <w:tc>
          <w:tcPr>
            <w:tcW w:w="1122" w:type="dxa"/>
            <w:noWrap w:val="0"/>
            <w:vAlign w:val="top"/>
          </w:tcPr>
          <w:p w14:paraId="2F80519F">
            <w:pPr>
              <w:pageBreakBefore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其中</w:t>
            </w:r>
            <w:r>
              <w:rPr>
                <w:rFonts w:hint="eastAsia" w:ascii="宋体" w:hAnsi="宋体" w:eastAsia="宋体" w:cs="宋体"/>
                <w:b/>
                <w:color w:val="auto"/>
                <w:sz w:val="28"/>
                <w:szCs w:val="28"/>
                <w:highlight w:val="none"/>
              </w:rPr>
              <w:t>残疾人福利单位报价（元）</w:t>
            </w:r>
          </w:p>
        </w:tc>
        <w:tc>
          <w:tcPr>
            <w:tcW w:w="2661" w:type="dxa"/>
            <w:noWrap w:val="0"/>
            <w:vAlign w:val="top"/>
          </w:tcPr>
          <w:p w14:paraId="4FA2E9AC">
            <w:pPr>
              <w:pageBreakBefore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其中</w:t>
            </w:r>
            <w:r>
              <w:rPr>
                <w:rFonts w:hint="eastAsia" w:ascii="宋体" w:hAnsi="宋体" w:eastAsia="宋体" w:cs="宋体"/>
                <w:b/>
                <w:color w:val="auto"/>
                <w:sz w:val="28"/>
                <w:szCs w:val="28"/>
                <w:highlight w:val="none"/>
              </w:rPr>
              <w:t>监狱企业报价（元）</w:t>
            </w:r>
          </w:p>
        </w:tc>
      </w:tr>
      <w:tr w14:paraId="2BA8A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42" w:hRule="atLeast"/>
        </w:trPr>
        <w:tc>
          <w:tcPr>
            <w:tcW w:w="536" w:type="dxa"/>
            <w:noWrap w:val="0"/>
            <w:vAlign w:val="center"/>
          </w:tcPr>
          <w:p w14:paraId="73C6C82E">
            <w:pPr>
              <w:pageBreakBefore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8"/>
                <w:szCs w:val="28"/>
                <w:highlight w:val="none"/>
                <w:lang w:val="zh-CN"/>
              </w:rPr>
            </w:pPr>
          </w:p>
        </w:tc>
        <w:tc>
          <w:tcPr>
            <w:tcW w:w="2968" w:type="dxa"/>
            <w:noWrap w:val="0"/>
            <w:vAlign w:val="center"/>
          </w:tcPr>
          <w:p w14:paraId="7D9E05D6">
            <w:pPr>
              <w:pageBreakBefore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8"/>
                <w:szCs w:val="28"/>
                <w:highlight w:val="none"/>
                <w:lang w:val="zh-CN"/>
              </w:rPr>
            </w:pPr>
          </w:p>
        </w:tc>
        <w:tc>
          <w:tcPr>
            <w:tcW w:w="1219" w:type="dxa"/>
            <w:noWrap w:val="0"/>
            <w:vAlign w:val="center"/>
          </w:tcPr>
          <w:p w14:paraId="3366455A">
            <w:pPr>
              <w:pageBreakBefore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8"/>
                <w:szCs w:val="28"/>
                <w:highlight w:val="none"/>
                <w:lang w:val="zh-CN"/>
              </w:rPr>
            </w:pPr>
          </w:p>
        </w:tc>
        <w:tc>
          <w:tcPr>
            <w:tcW w:w="1122" w:type="dxa"/>
            <w:noWrap w:val="0"/>
            <w:vAlign w:val="center"/>
          </w:tcPr>
          <w:p w14:paraId="58778B62">
            <w:pPr>
              <w:pageBreakBefore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8"/>
                <w:szCs w:val="28"/>
                <w:highlight w:val="none"/>
                <w:lang w:val="zh-CN"/>
              </w:rPr>
            </w:pPr>
          </w:p>
        </w:tc>
        <w:tc>
          <w:tcPr>
            <w:tcW w:w="1122" w:type="dxa"/>
            <w:noWrap w:val="0"/>
            <w:vAlign w:val="top"/>
          </w:tcPr>
          <w:p w14:paraId="4122D034">
            <w:pPr>
              <w:pageBreakBefore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8"/>
                <w:szCs w:val="28"/>
                <w:highlight w:val="none"/>
                <w:lang w:val="zh-CN"/>
              </w:rPr>
            </w:pPr>
          </w:p>
        </w:tc>
        <w:tc>
          <w:tcPr>
            <w:tcW w:w="2661" w:type="dxa"/>
            <w:noWrap w:val="0"/>
            <w:vAlign w:val="top"/>
          </w:tcPr>
          <w:p w14:paraId="4B2FE693">
            <w:pPr>
              <w:pageBreakBefore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8"/>
                <w:szCs w:val="28"/>
                <w:highlight w:val="none"/>
                <w:lang w:val="zh-CN"/>
              </w:rPr>
            </w:pPr>
          </w:p>
        </w:tc>
      </w:tr>
      <w:tr w14:paraId="64153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42" w:hRule="atLeast"/>
        </w:trPr>
        <w:tc>
          <w:tcPr>
            <w:tcW w:w="536" w:type="dxa"/>
            <w:noWrap w:val="0"/>
            <w:vAlign w:val="center"/>
          </w:tcPr>
          <w:p w14:paraId="796CDE82">
            <w:pPr>
              <w:pageBreakBefore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8"/>
                <w:szCs w:val="28"/>
                <w:highlight w:val="none"/>
                <w:lang w:val="zh-CN"/>
              </w:rPr>
            </w:pPr>
          </w:p>
        </w:tc>
        <w:tc>
          <w:tcPr>
            <w:tcW w:w="2968" w:type="dxa"/>
            <w:noWrap w:val="0"/>
            <w:vAlign w:val="center"/>
          </w:tcPr>
          <w:p w14:paraId="0598B86D">
            <w:pPr>
              <w:pageBreakBefore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8"/>
                <w:szCs w:val="28"/>
                <w:highlight w:val="none"/>
                <w:lang w:val="zh-CN"/>
              </w:rPr>
            </w:pPr>
          </w:p>
        </w:tc>
        <w:tc>
          <w:tcPr>
            <w:tcW w:w="1219" w:type="dxa"/>
            <w:noWrap w:val="0"/>
            <w:vAlign w:val="center"/>
          </w:tcPr>
          <w:p w14:paraId="7CEAA32A">
            <w:pPr>
              <w:pageBreakBefore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8"/>
                <w:szCs w:val="28"/>
                <w:highlight w:val="none"/>
                <w:lang w:val="zh-CN"/>
              </w:rPr>
            </w:pPr>
          </w:p>
        </w:tc>
        <w:tc>
          <w:tcPr>
            <w:tcW w:w="1122" w:type="dxa"/>
            <w:noWrap w:val="0"/>
            <w:vAlign w:val="center"/>
          </w:tcPr>
          <w:p w14:paraId="70315D5E">
            <w:pPr>
              <w:pageBreakBefore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8"/>
                <w:szCs w:val="28"/>
                <w:highlight w:val="none"/>
                <w:lang w:val="zh-CN"/>
              </w:rPr>
            </w:pPr>
          </w:p>
        </w:tc>
        <w:tc>
          <w:tcPr>
            <w:tcW w:w="1122" w:type="dxa"/>
            <w:noWrap w:val="0"/>
            <w:vAlign w:val="top"/>
          </w:tcPr>
          <w:p w14:paraId="6A478E3C">
            <w:pPr>
              <w:pageBreakBefore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8"/>
                <w:szCs w:val="28"/>
                <w:highlight w:val="none"/>
                <w:lang w:val="zh-CN"/>
              </w:rPr>
            </w:pPr>
          </w:p>
        </w:tc>
        <w:tc>
          <w:tcPr>
            <w:tcW w:w="2661" w:type="dxa"/>
            <w:noWrap w:val="0"/>
            <w:vAlign w:val="top"/>
          </w:tcPr>
          <w:p w14:paraId="7C650B39">
            <w:pPr>
              <w:pageBreakBefore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8"/>
                <w:szCs w:val="28"/>
                <w:highlight w:val="none"/>
                <w:lang w:val="zh-CN"/>
              </w:rPr>
            </w:pPr>
          </w:p>
        </w:tc>
      </w:tr>
      <w:tr w14:paraId="2CFA4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42" w:hRule="atLeast"/>
        </w:trPr>
        <w:tc>
          <w:tcPr>
            <w:tcW w:w="536" w:type="dxa"/>
            <w:noWrap w:val="0"/>
            <w:vAlign w:val="center"/>
          </w:tcPr>
          <w:p w14:paraId="373DA6A2">
            <w:pPr>
              <w:pageBreakBefore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8"/>
                <w:szCs w:val="28"/>
                <w:highlight w:val="none"/>
                <w:lang w:val="zh-CN"/>
              </w:rPr>
            </w:pPr>
          </w:p>
        </w:tc>
        <w:tc>
          <w:tcPr>
            <w:tcW w:w="2968" w:type="dxa"/>
            <w:noWrap w:val="0"/>
            <w:vAlign w:val="center"/>
          </w:tcPr>
          <w:p w14:paraId="19254D38">
            <w:pPr>
              <w:pageBreakBefore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8"/>
                <w:szCs w:val="28"/>
                <w:highlight w:val="none"/>
                <w:lang w:val="zh-CN"/>
              </w:rPr>
            </w:pPr>
          </w:p>
        </w:tc>
        <w:tc>
          <w:tcPr>
            <w:tcW w:w="1219" w:type="dxa"/>
            <w:noWrap w:val="0"/>
            <w:vAlign w:val="center"/>
          </w:tcPr>
          <w:p w14:paraId="6F2481BC">
            <w:pPr>
              <w:pageBreakBefore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8"/>
                <w:szCs w:val="28"/>
                <w:highlight w:val="none"/>
                <w:lang w:val="zh-CN"/>
              </w:rPr>
            </w:pPr>
          </w:p>
        </w:tc>
        <w:tc>
          <w:tcPr>
            <w:tcW w:w="1122" w:type="dxa"/>
            <w:noWrap w:val="0"/>
            <w:vAlign w:val="center"/>
          </w:tcPr>
          <w:p w14:paraId="0399FD46">
            <w:pPr>
              <w:pageBreakBefore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8"/>
                <w:szCs w:val="28"/>
                <w:highlight w:val="none"/>
                <w:lang w:val="zh-CN"/>
              </w:rPr>
            </w:pPr>
          </w:p>
        </w:tc>
        <w:tc>
          <w:tcPr>
            <w:tcW w:w="1122" w:type="dxa"/>
            <w:noWrap w:val="0"/>
            <w:vAlign w:val="top"/>
          </w:tcPr>
          <w:p w14:paraId="13B3246F">
            <w:pPr>
              <w:pageBreakBefore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8"/>
                <w:szCs w:val="28"/>
                <w:highlight w:val="none"/>
                <w:lang w:val="zh-CN"/>
              </w:rPr>
            </w:pPr>
          </w:p>
        </w:tc>
        <w:tc>
          <w:tcPr>
            <w:tcW w:w="2661" w:type="dxa"/>
            <w:noWrap w:val="0"/>
            <w:vAlign w:val="top"/>
          </w:tcPr>
          <w:p w14:paraId="5A67655F">
            <w:pPr>
              <w:pageBreakBefore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8"/>
                <w:szCs w:val="28"/>
                <w:highlight w:val="none"/>
                <w:lang w:val="zh-CN"/>
              </w:rPr>
            </w:pPr>
          </w:p>
        </w:tc>
      </w:tr>
      <w:tr w14:paraId="7D84B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2" w:hRule="atLeast"/>
        </w:trPr>
        <w:tc>
          <w:tcPr>
            <w:tcW w:w="3504" w:type="dxa"/>
            <w:gridSpan w:val="2"/>
            <w:noWrap w:val="0"/>
            <w:vAlign w:val="center"/>
          </w:tcPr>
          <w:p w14:paraId="54D5377E">
            <w:pPr>
              <w:pageBreakBefore w:val="0"/>
              <w:widowControl/>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投标总价</w:t>
            </w:r>
          </w:p>
          <w:p w14:paraId="55932B0F">
            <w:pPr>
              <w:pageBreakBefore w:val="0"/>
              <w:widowControl/>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（人民币，</w:t>
            </w:r>
            <w:r>
              <w:rPr>
                <w:rFonts w:hint="eastAsia" w:ascii="宋体" w:hAnsi="宋体" w:eastAsia="宋体" w:cs="宋体"/>
                <w:color w:val="auto"/>
                <w:sz w:val="28"/>
                <w:szCs w:val="28"/>
                <w:highlight w:val="none"/>
                <w:lang w:val="en-US" w:eastAsia="zh-CN"/>
              </w:rPr>
              <w:t>小写，</w:t>
            </w:r>
            <w:r>
              <w:rPr>
                <w:rFonts w:hint="eastAsia" w:ascii="宋体" w:hAnsi="宋体" w:eastAsia="宋体" w:cs="宋体"/>
                <w:color w:val="auto"/>
                <w:sz w:val="28"/>
                <w:szCs w:val="28"/>
                <w:highlight w:val="none"/>
                <w:lang w:val="zh-CN"/>
              </w:rPr>
              <w:t>大写）</w:t>
            </w:r>
          </w:p>
        </w:tc>
        <w:tc>
          <w:tcPr>
            <w:tcW w:w="1219" w:type="dxa"/>
            <w:noWrap w:val="0"/>
            <w:vAlign w:val="center"/>
          </w:tcPr>
          <w:p w14:paraId="7C984A33">
            <w:pPr>
              <w:pageBreakBefore w:val="0"/>
              <w:widowControl/>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w:t>
            </w:r>
          </w:p>
        </w:tc>
        <w:tc>
          <w:tcPr>
            <w:tcW w:w="4905" w:type="dxa"/>
            <w:gridSpan w:val="3"/>
            <w:noWrap w:val="0"/>
            <w:vAlign w:val="center"/>
          </w:tcPr>
          <w:p w14:paraId="76EAFC6C">
            <w:pPr>
              <w:pageBreakBefore w:val="0"/>
              <w:widowControl/>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8"/>
                <w:szCs w:val="28"/>
                <w:highlight w:val="none"/>
                <w:lang w:val="zh-CN"/>
              </w:rPr>
            </w:pPr>
          </w:p>
        </w:tc>
      </w:tr>
      <w:tr w14:paraId="52F45D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2" w:hRule="atLeast"/>
        </w:trPr>
        <w:tc>
          <w:tcPr>
            <w:tcW w:w="3504" w:type="dxa"/>
            <w:gridSpan w:val="2"/>
            <w:noWrap w:val="0"/>
            <w:vAlign w:val="center"/>
          </w:tcPr>
          <w:p w14:paraId="65AE2B47">
            <w:pPr>
              <w:pageBreakBefore w:val="0"/>
              <w:widowControl/>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项目负责人</w:t>
            </w:r>
          </w:p>
        </w:tc>
        <w:tc>
          <w:tcPr>
            <w:tcW w:w="1219" w:type="dxa"/>
            <w:noWrap w:val="0"/>
            <w:vAlign w:val="center"/>
          </w:tcPr>
          <w:p w14:paraId="2547394A">
            <w:pPr>
              <w:pageBreakBefore w:val="0"/>
              <w:widowControl/>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8"/>
                <w:szCs w:val="28"/>
                <w:highlight w:val="none"/>
                <w:lang w:val="zh-CN"/>
              </w:rPr>
            </w:pPr>
          </w:p>
        </w:tc>
        <w:tc>
          <w:tcPr>
            <w:tcW w:w="4905" w:type="dxa"/>
            <w:gridSpan w:val="3"/>
            <w:noWrap w:val="0"/>
            <w:vAlign w:val="center"/>
          </w:tcPr>
          <w:p w14:paraId="4CEE10B3">
            <w:pPr>
              <w:pageBreakBefore w:val="0"/>
              <w:widowControl/>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8"/>
                <w:szCs w:val="28"/>
                <w:highlight w:val="none"/>
                <w:lang w:val="zh-CN"/>
              </w:rPr>
            </w:pPr>
          </w:p>
        </w:tc>
      </w:tr>
      <w:tr w14:paraId="52296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2" w:hRule="atLeast"/>
        </w:trPr>
        <w:tc>
          <w:tcPr>
            <w:tcW w:w="3504" w:type="dxa"/>
            <w:gridSpan w:val="2"/>
            <w:noWrap w:val="0"/>
            <w:vAlign w:val="center"/>
          </w:tcPr>
          <w:p w14:paraId="274D2F75">
            <w:pPr>
              <w:pageBreakBefore w:val="0"/>
              <w:widowControl/>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服务期</w:t>
            </w:r>
          </w:p>
        </w:tc>
        <w:tc>
          <w:tcPr>
            <w:tcW w:w="1219" w:type="dxa"/>
            <w:noWrap w:val="0"/>
            <w:vAlign w:val="center"/>
          </w:tcPr>
          <w:p w14:paraId="26596B2A">
            <w:pPr>
              <w:pageBreakBefore w:val="0"/>
              <w:widowControl/>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1年 </w:t>
            </w:r>
          </w:p>
        </w:tc>
        <w:tc>
          <w:tcPr>
            <w:tcW w:w="4905" w:type="dxa"/>
            <w:gridSpan w:val="3"/>
            <w:noWrap w:val="0"/>
            <w:vAlign w:val="center"/>
          </w:tcPr>
          <w:p w14:paraId="5C691B7B">
            <w:pPr>
              <w:pageBreakBefore w:val="0"/>
              <w:widowControl/>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8"/>
                <w:szCs w:val="28"/>
                <w:highlight w:val="none"/>
                <w:lang w:val="zh-CN" w:eastAsia="zh-CN"/>
              </w:rPr>
            </w:pPr>
          </w:p>
        </w:tc>
      </w:tr>
      <w:tr w14:paraId="203CA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42" w:hRule="atLeast"/>
        </w:trPr>
        <w:tc>
          <w:tcPr>
            <w:tcW w:w="3504" w:type="dxa"/>
            <w:gridSpan w:val="2"/>
            <w:noWrap w:val="0"/>
            <w:vAlign w:val="center"/>
          </w:tcPr>
          <w:p w14:paraId="66A71AF4">
            <w:pPr>
              <w:pageBreakBefore w:val="0"/>
              <w:widowControl/>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是否属于小微型企业</w:t>
            </w:r>
          </w:p>
        </w:tc>
        <w:tc>
          <w:tcPr>
            <w:tcW w:w="1219" w:type="dxa"/>
            <w:noWrap w:val="0"/>
            <w:vAlign w:val="center"/>
          </w:tcPr>
          <w:p w14:paraId="4DC8895A">
            <w:pPr>
              <w:pageBreakBefore w:val="0"/>
              <w:widowControl/>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是（</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val="zh-CN"/>
              </w:rPr>
              <w:t>）        否（</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val="zh-CN"/>
              </w:rPr>
              <w:t>）</w:t>
            </w:r>
          </w:p>
        </w:tc>
        <w:tc>
          <w:tcPr>
            <w:tcW w:w="4905" w:type="dxa"/>
            <w:gridSpan w:val="3"/>
            <w:noWrap w:val="0"/>
            <w:vAlign w:val="center"/>
          </w:tcPr>
          <w:p w14:paraId="044333F4">
            <w:pPr>
              <w:pageBreakBefore w:val="0"/>
              <w:widowControl/>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8"/>
                <w:szCs w:val="28"/>
                <w:highlight w:val="none"/>
                <w:lang w:val="zh-CN"/>
              </w:rPr>
            </w:pPr>
          </w:p>
        </w:tc>
      </w:tr>
      <w:tr w14:paraId="1D1D4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42" w:hRule="atLeast"/>
        </w:trPr>
        <w:tc>
          <w:tcPr>
            <w:tcW w:w="3504" w:type="dxa"/>
            <w:gridSpan w:val="2"/>
            <w:noWrap w:val="0"/>
            <w:vAlign w:val="center"/>
          </w:tcPr>
          <w:p w14:paraId="6F1108A9">
            <w:pPr>
              <w:pageBreakBefore w:val="0"/>
              <w:widowControl/>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是否属于残疾人福利性单位</w:t>
            </w:r>
          </w:p>
        </w:tc>
        <w:tc>
          <w:tcPr>
            <w:tcW w:w="1219" w:type="dxa"/>
            <w:noWrap w:val="0"/>
            <w:vAlign w:val="center"/>
          </w:tcPr>
          <w:p w14:paraId="7F2DC180">
            <w:pPr>
              <w:pageBreakBefore w:val="0"/>
              <w:widowControl/>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是（</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val="zh-CN"/>
              </w:rPr>
              <w:t>）             否（</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val="zh-CN"/>
              </w:rPr>
              <w:t>）</w:t>
            </w:r>
          </w:p>
        </w:tc>
        <w:tc>
          <w:tcPr>
            <w:tcW w:w="4905" w:type="dxa"/>
            <w:gridSpan w:val="3"/>
            <w:noWrap w:val="0"/>
            <w:vAlign w:val="center"/>
          </w:tcPr>
          <w:p w14:paraId="222EA42E">
            <w:pPr>
              <w:pageBreakBefore w:val="0"/>
              <w:widowControl/>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8"/>
                <w:szCs w:val="28"/>
                <w:highlight w:val="none"/>
                <w:lang w:val="zh-CN"/>
              </w:rPr>
            </w:pPr>
          </w:p>
        </w:tc>
      </w:tr>
      <w:tr w14:paraId="68C67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7" w:hRule="atLeast"/>
        </w:trPr>
        <w:tc>
          <w:tcPr>
            <w:tcW w:w="3504" w:type="dxa"/>
            <w:gridSpan w:val="2"/>
            <w:noWrap w:val="0"/>
            <w:vAlign w:val="center"/>
          </w:tcPr>
          <w:p w14:paraId="4F8573F5">
            <w:pPr>
              <w:pageBreakBefore w:val="0"/>
              <w:widowControl/>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是否属于监狱企业</w:t>
            </w:r>
          </w:p>
        </w:tc>
        <w:tc>
          <w:tcPr>
            <w:tcW w:w="1219" w:type="dxa"/>
            <w:noWrap w:val="0"/>
            <w:vAlign w:val="center"/>
          </w:tcPr>
          <w:p w14:paraId="46BDDDDB">
            <w:pPr>
              <w:pageBreakBefore w:val="0"/>
              <w:widowControl/>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是（</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val="zh-CN"/>
              </w:rPr>
              <w:t>）            否（</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val="zh-CN"/>
              </w:rPr>
              <w:t>）</w:t>
            </w:r>
          </w:p>
        </w:tc>
        <w:tc>
          <w:tcPr>
            <w:tcW w:w="4905" w:type="dxa"/>
            <w:gridSpan w:val="3"/>
            <w:noWrap w:val="0"/>
            <w:vAlign w:val="center"/>
          </w:tcPr>
          <w:p w14:paraId="08F40FE4">
            <w:pPr>
              <w:pageBreakBefore w:val="0"/>
              <w:widowControl/>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8"/>
                <w:szCs w:val="28"/>
                <w:highlight w:val="none"/>
                <w:lang w:val="zh-CN"/>
              </w:rPr>
            </w:pPr>
          </w:p>
        </w:tc>
      </w:tr>
    </w:tbl>
    <w:p w14:paraId="11B4C024">
      <w:pPr>
        <w:pageBreakBefore w:val="0"/>
        <w:widowControl/>
        <w:kinsoku/>
        <w:wordWrap/>
        <w:overflowPunct/>
        <w:topLinePunct w:val="0"/>
        <w:autoSpaceDE/>
        <w:autoSpaceDN/>
        <w:bidi w:val="0"/>
        <w:adjustRightInd/>
        <w:snapToGrid/>
        <w:spacing w:line="360" w:lineRule="auto"/>
        <w:ind w:left="210" w:right="567" w:firstLine="420"/>
        <w:textAlignment w:val="auto"/>
        <w:rPr>
          <w:rFonts w:hint="eastAsia" w:ascii="宋体" w:hAnsi="宋体" w:eastAsia="宋体" w:cs="宋体"/>
          <w:color w:val="auto"/>
          <w:highlight w:val="none"/>
        </w:rPr>
      </w:pPr>
    </w:p>
    <w:p w14:paraId="7BD1352B">
      <w:pPr>
        <w:pageBreakBefore w:val="0"/>
        <w:widowControl/>
        <w:kinsoku/>
        <w:wordWrap/>
        <w:overflowPunct/>
        <w:topLinePunct w:val="0"/>
        <w:autoSpaceDE/>
        <w:autoSpaceDN/>
        <w:bidi w:val="0"/>
        <w:adjustRightInd/>
        <w:snapToGrid/>
        <w:spacing w:line="360" w:lineRule="auto"/>
        <w:ind w:left="210" w:right="567"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供应商名称: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（盖章）</w:t>
      </w:r>
    </w:p>
    <w:p w14:paraId="50EEFF22">
      <w:pPr>
        <w:pageBreakBefore w:val="0"/>
        <w:widowControl/>
        <w:kinsoku/>
        <w:wordWrap/>
        <w:overflowPunct/>
        <w:topLinePunct w:val="0"/>
        <w:autoSpaceDE/>
        <w:autoSpaceDN/>
        <w:bidi w:val="0"/>
        <w:adjustRightInd/>
        <w:snapToGrid/>
        <w:spacing w:line="360" w:lineRule="auto"/>
        <w:ind w:left="210" w:right="567"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说明：1、在“是否属于小和微型企业”栏后“是”或“否”上打“√”。</w:t>
      </w:r>
    </w:p>
    <w:p w14:paraId="38DD626E">
      <w:pPr>
        <w:pageBreakBefore w:val="0"/>
        <w:widowControl/>
        <w:kinsoku/>
        <w:wordWrap/>
        <w:overflowPunct/>
        <w:topLinePunct w:val="0"/>
        <w:autoSpaceDE/>
        <w:autoSpaceDN/>
        <w:bidi w:val="0"/>
        <w:adjustRightInd/>
        <w:snapToGrid/>
        <w:spacing w:line="360" w:lineRule="auto"/>
        <w:ind w:left="210" w:right="567" w:firstLine="1050"/>
        <w:textAlignment w:val="auto"/>
        <w:rPr>
          <w:rFonts w:hint="eastAsia" w:ascii="宋体" w:hAnsi="宋体" w:eastAsia="宋体" w:cs="宋体"/>
          <w:color w:val="auto"/>
          <w:highlight w:val="none"/>
        </w:rPr>
      </w:pPr>
      <w:r>
        <w:rPr>
          <w:rFonts w:hint="eastAsia" w:ascii="宋体" w:hAnsi="宋体" w:eastAsia="宋体" w:cs="宋体"/>
          <w:color w:val="auto"/>
          <w:highlight w:val="none"/>
        </w:rPr>
        <w:t>2、在“是否属于残疾人福利性单位”栏后“是”或“否”上打“√”。</w:t>
      </w:r>
    </w:p>
    <w:p w14:paraId="021CE3AF">
      <w:pPr>
        <w:pageBreakBefore w:val="0"/>
        <w:widowControl/>
        <w:kinsoku/>
        <w:wordWrap/>
        <w:overflowPunct/>
        <w:topLinePunct w:val="0"/>
        <w:autoSpaceDE/>
        <w:autoSpaceDN/>
        <w:bidi w:val="0"/>
        <w:adjustRightInd/>
        <w:snapToGrid/>
        <w:spacing w:line="360" w:lineRule="auto"/>
        <w:ind w:left="210" w:right="567" w:firstLine="1050"/>
        <w:textAlignment w:val="auto"/>
        <w:rPr>
          <w:rFonts w:hint="eastAsia" w:ascii="宋体" w:hAnsi="宋体" w:eastAsia="宋体" w:cs="宋体"/>
          <w:color w:val="auto"/>
          <w:highlight w:val="none"/>
        </w:rPr>
      </w:pPr>
      <w:r>
        <w:rPr>
          <w:rFonts w:hint="eastAsia" w:ascii="宋体" w:hAnsi="宋体" w:eastAsia="宋体" w:cs="宋体"/>
          <w:color w:val="auto"/>
          <w:highlight w:val="none"/>
        </w:rPr>
        <w:t>3、在“是否属于监狱企业”栏后“是”或“否”上打“√”。</w:t>
      </w:r>
    </w:p>
    <w:p w14:paraId="3A36EEA5">
      <w:pPr>
        <w:pageBreakBefore w:val="0"/>
        <w:kinsoku/>
        <w:wordWrap/>
        <w:overflowPunct/>
        <w:topLinePunct w:val="0"/>
        <w:autoSpaceDE/>
        <w:autoSpaceDN/>
        <w:bidi w:val="0"/>
        <w:adjustRightInd/>
        <w:snapToGrid/>
        <w:spacing w:line="360" w:lineRule="auto"/>
        <w:ind w:left="210" w:right="567" w:firstLine="643"/>
        <w:jc w:val="center"/>
        <w:textAlignment w:val="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分项报价表</w:t>
      </w:r>
      <w:r>
        <w:rPr>
          <w:rFonts w:hint="eastAsia" w:ascii="宋体" w:hAnsi="宋体" w:eastAsia="宋体" w:cs="宋体"/>
          <w:b/>
          <w:bCs/>
          <w:color w:val="auto"/>
          <w:sz w:val="32"/>
          <w:szCs w:val="32"/>
          <w:highlight w:val="none"/>
          <w:lang w:eastAsia="zh-CN"/>
        </w:rPr>
        <w:t>（</w:t>
      </w:r>
      <w:r>
        <w:rPr>
          <w:rFonts w:hint="eastAsia" w:ascii="宋体" w:hAnsi="宋体" w:eastAsia="宋体" w:cs="宋体"/>
          <w:b/>
          <w:bCs/>
          <w:color w:val="auto"/>
          <w:sz w:val="32"/>
          <w:szCs w:val="32"/>
          <w:highlight w:val="none"/>
          <w:lang w:val="en-US" w:eastAsia="zh-CN"/>
        </w:rPr>
        <w:t>清单报价表</w:t>
      </w:r>
      <w:r>
        <w:rPr>
          <w:rFonts w:hint="eastAsia" w:ascii="宋体" w:hAnsi="宋体" w:eastAsia="宋体" w:cs="宋体"/>
          <w:b/>
          <w:bCs/>
          <w:color w:val="auto"/>
          <w:sz w:val="32"/>
          <w:szCs w:val="32"/>
          <w:highlight w:val="none"/>
          <w:lang w:eastAsia="zh-CN"/>
        </w:rPr>
        <w:t>）</w:t>
      </w:r>
    </w:p>
    <w:tbl>
      <w:tblPr>
        <w:tblStyle w:val="30"/>
        <w:tblpPr w:leftFromText="180" w:rightFromText="180" w:vertAnchor="page" w:horzAnchor="page" w:tblpX="1460" w:tblpY="2853"/>
        <w:tblOverlap w:val="never"/>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80" w:type="dxa"/>
          <w:left w:w="128" w:type="dxa"/>
          <w:bottom w:w="80" w:type="dxa"/>
          <w:right w:w="128" w:type="dxa"/>
        </w:tblCellMar>
      </w:tblPr>
      <w:tblGrid>
        <w:gridCol w:w="460"/>
        <w:gridCol w:w="690"/>
        <w:gridCol w:w="5037"/>
        <w:gridCol w:w="933"/>
        <w:gridCol w:w="1005"/>
        <w:gridCol w:w="971"/>
      </w:tblGrid>
      <w:tr w14:paraId="67F45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28" w:type="dxa"/>
            <w:bottom w:w="80" w:type="dxa"/>
            <w:right w:w="128" w:type="dxa"/>
          </w:tblCellMar>
        </w:tblPrEx>
        <w:trPr>
          <w:trHeight w:val="712" w:hRule="atLeast"/>
        </w:trPr>
        <w:tc>
          <w:tcPr>
            <w:tcW w:w="632" w:type="pct"/>
            <w:gridSpan w:val="2"/>
            <w:vAlign w:val="center"/>
          </w:tcPr>
          <w:p w14:paraId="7EF1CB2E">
            <w:pPr>
              <w:snapToGrid w:val="0"/>
              <w:spacing w:after="0" w:line="240" w:lineRule="auto"/>
              <w:jc w:val="center"/>
              <w:rPr>
                <w:rFonts w:hint="default" w:ascii="宋体" w:hAnsi="宋体" w:eastAsia="宋体" w:cs="宋体"/>
                <w:color w:val="auto"/>
                <w:kern w:val="2"/>
                <w:sz w:val="21"/>
                <w:szCs w:val="21"/>
                <w:highlight w:val="none"/>
                <w:vertAlign w:val="baseline"/>
                <w:lang w:val="en-US" w:eastAsia="zh-CN"/>
              </w:rPr>
            </w:pPr>
            <w:r>
              <w:rPr>
                <w:rFonts w:hint="eastAsia" w:ascii="宋体" w:hAnsi="宋体" w:eastAsia="宋体" w:cs="宋体"/>
                <w:color w:val="auto"/>
                <w:kern w:val="2"/>
                <w:sz w:val="21"/>
                <w:szCs w:val="21"/>
                <w:highlight w:val="none"/>
                <w:vertAlign w:val="baseline"/>
                <w:lang w:val="en-US" w:eastAsia="zh-CN"/>
              </w:rPr>
              <w:t>名称</w:t>
            </w:r>
          </w:p>
        </w:tc>
        <w:tc>
          <w:tcPr>
            <w:tcW w:w="2768" w:type="pct"/>
            <w:vAlign w:val="center"/>
          </w:tcPr>
          <w:p w14:paraId="02A75359">
            <w:pPr>
              <w:snapToGrid w:val="0"/>
              <w:spacing w:after="0" w:line="240" w:lineRule="auto"/>
              <w:jc w:val="center"/>
              <w:rPr>
                <w:rFonts w:hint="default" w:ascii="宋体" w:hAnsi="宋体" w:eastAsia="宋体" w:cs="宋体"/>
                <w:color w:val="auto"/>
                <w:kern w:val="2"/>
                <w:sz w:val="21"/>
                <w:szCs w:val="21"/>
                <w:highlight w:val="none"/>
                <w:vertAlign w:val="baseline"/>
                <w:lang w:val="en-US" w:eastAsia="zh-CN"/>
              </w:rPr>
            </w:pPr>
            <w:r>
              <w:rPr>
                <w:rFonts w:hint="eastAsia" w:ascii="宋体" w:hAnsi="宋体" w:eastAsia="宋体" w:cs="宋体"/>
                <w:color w:val="auto"/>
                <w:kern w:val="2"/>
                <w:sz w:val="21"/>
                <w:szCs w:val="21"/>
                <w:highlight w:val="none"/>
                <w:vertAlign w:val="baseline"/>
                <w:lang w:val="en-US" w:eastAsia="zh-CN"/>
              </w:rPr>
              <w:t>范围</w:t>
            </w:r>
          </w:p>
        </w:tc>
        <w:tc>
          <w:tcPr>
            <w:tcW w:w="512" w:type="pct"/>
            <w:vAlign w:val="center"/>
          </w:tcPr>
          <w:p w14:paraId="410C31CE">
            <w:pPr>
              <w:snapToGrid w:val="0"/>
              <w:spacing w:after="0" w:line="240" w:lineRule="auto"/>
              <w:jc w:val="center"/>
              <w:rPr>
                <w:rFonts w:hint="default" w:ascii="宋体" w:hAnsi="宋体" w:eastAsia="宋体" w:cs="宋体"/>
                <w:color w:val="auto"/>
                <w:kern w:val="2"/>
                <w:sz w:val="21"/>
                <w:szCs w:val="21"/>
                <w:highlight w:val="none"/>
                <w:vertAlign w:val="baseline"/>
                <w:lang w:val="en-US" w:eastAsia="zh-CN"/>
              </w:rPr>
            </w:pPr>
            <w:r>
              <w:rPr>
                <w:rFonts w:hint="eastAsia" w:ascii="宋体" w:hAnsi="宋体" w:eastAsia="宋体" w:cs="宋体"/>
                <w:color w:val="auto"/>
                <w:kern w:val="2"/>
                <w:sz w:val="21"/>
                <w:szCs w:val="21"/>
                <w:highlight w:val="none"/>
                <w:vertAlign w:val="baseline"/>
                <w:lang w:val="en-US" w:eastAsia="zh-CN"/>
              </w:rPr>
              <w:t>面积</w:t>
            </w:r>
          </w:p>
        </w:tc>
        <w:tc>
          <w:tcPr>
            <w:tcW w:w="552" w:type="pct"/>
            <w:vAlign w:val="center"/>
          </w:tcPr>
          <w:p w14:paraId="78553EA6">
            <w:pPr>
              <w:snapToGrid w:val="0"/>
              <w:spacing w:after="0" w:line="240" w:lineRule="auto"/>
              <w:jc w:val="center"/>
              <w:rPr>
                <w:rFonts w:hint="default" w:ascii="宋体" w:hAnsi="宋体" w:eastAsia="宋体" w:cs="宋体"/>
                <w:color w:val="auto"/>
                <w:kern w:val="2"/>
                <w:sz w:val="21"/>
                <w:szCs w:val="21"/>
                <w:highlight w:val="none"/>
                <w:vertAlign w:val="baseline"/>
                <w:lang w:val="en-US" w:eastAsia="zh-CN"/>
              </w:rPr>
            </w:pPr>
            <w:r>
              <w:rPr>
                <w:rFonts w:hint="eastAsia" w:ascii="宋体" w:hAnsi="宋体" w:eastAsia="宋体" w:cs="宋体"/>
                <w:color w:val="auto"/>
                <w:kern w:val="2"/>
                <w:sz w:val="21"/>
                <w:szCs w:val="21"/>
                <w:highlight w:val="none"/>
                <w:vertAlign w:val="baseline"/>
                <w:lang w:val="en-US" w:eastAsia="zh-CN"/>
              </w:rPr>
              <w:t>单价（元）</w:t>
            </w:r>
          </w:p>
        </w:tc>
        <w:tc>
          <w:tcPr>
            <w:tcW w:w="533" w:type="pct"/>
            <w:vAlign w:val="center"/>
          </w:tcPr>
          <w:p w14:paraId="5FF5EA8B">
            <w:pPr>
              <w:snapToGrid w:val="0"/>
              <w:spacing w:after="0" w:line="240" w:lineRule="auto"/>
              <w:jc w:val="center"/>
              <w:rPr>
                <w:rFonts w:hint="default" w:ascii="宋体" w:hAnsi="宋体" w:eastAsia="宋体" w:cs="宋体"/>
                <w:color w:val="auto"/>
                <w:kern w:val="2"/>
                <w:sz w:val="21"/>
                <w:szCs w:val="21"/>
                <w:highlight w:val="none"/>
                <w:vertAlign w:val="baseline"/>
                <w:lang w:val="en-US" w:eastAsia="zh-CN"/>
              </w:rPr>
            </w:pPr>
            <w:r>
              <w:rPr>
                <w:rFonts w:hint="eastAsia" w:ascii="宋体" w:hAnsi="宋体" w:eastAsia="宋体" w:cs="宋体"/>
                <w:color w:val="auto"/>
                <w:kern w:val="2"/>
                <w:sz w:val="21"/>
                <w:szCs w:val="21"/>
                <w:highlight w:val="none"/>
                <w:vertAlign w:val="baseline"/>
                <w:lang w:val="en-US" w:eastAsia="zh-CN"/>
              </w:rPr>
              <w:t>合价（元）</w:t>
            </w:r>
          </w:p>
        </w:tc>
      </w:tr>
      <w:tr w14:paraId="56062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28" w:type="dxa"/>
            <w:bottom w:w="80" w:type="dxa"/>
            <w:right w:w="128" w:type="dxa"/>
          </w:tblCellMar>
        </w:tblPrEx>
        <w:trPr>
          <w:trHeight w:val="1035" w:hRule="atLeast"/>
        </w:trPr>
        <w:tc>
          <w:tcPr>
            <w:tcW w:w="252" w:type="pct"/>
            <w:vMerge w:val="restart"/>
            <w:vAlign w:val="center"/>
          </w:tcPr>
          <w:p w14:paraId="299D09D0">
            <w:pPr>
              <w:snapToGrid w:val="0"/>
              <w:spacing w:after="0" w:line="240" w:lineRule="auto"/>
              <w:jc w:val="center"/>
              <w:rPr>
                <w:rFonts w:hint="eastAsia" w:ascii="宋体" w:hAnsi="宋体" w:eastAsia="宋体" w:cs="宋体"/>
                <w:color w:val="auto"/>
                <w:kern w:val="2"/>
                <w:sz w:val="21"/>
                <w:szCs w:val="21"/>
                <w:highlight w:val="none"/>
                <w:vertAlign w:val="baseline"/>
                <w:lang w:val="en-US" w:eastAsia="zh-CN"/>
              </w:rPr>
            </w:pPr>
            <w:r>
              <w:rPr>
                <w:rFonts w:hint="eastAsia" w:ascii="宋体" w:hAnsi="宋体" w:eastAsia="宋体" w:cs="宋体"/>
                <w:color w:val="auto"/>
                <w:kern w:val="2"/>
                <w:sz w:val="21"/>
                <w:szCs w:val="21"/>
                <w:highlight w:val="none"/>
                <w:vertAlign w:val="baseline"/>
                <w:lang w:val="en-US" w:eastAsia="zh-CN"/>
              </w:rPr>
              <w:t>保洁</w:t>
            </w:r>
          </w:p>
        </w:tc>
        <w:tc>
          <w:tcPr>
            <w:tcW w:w="379" w:type="pct"/>
            <w:shd w:val="clear" w:color="auto" w:fill="auto"/>
            <w:vAlign w:val="center"/>
          </w:tcPr>
          <w:p w14:paraId="7D2B2C09">
            <w:pPr>
              <w:snapToGrid w:val="0"/>
              <w:spacing w:after="0" w:line="24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kern w:val="2"/>
                <w:sz w:val="21"/>
                <w:szCs w:val="21"/>
                <w:highlight w:val="none"/>
                <w:vertAlign w:val="baseline"/>
                <w:lang w:val="en-US" w:eastAsia="zh-CN"/>
              </w:rPr>
              <w:t>主要道路</w:t>
            </w:r>
          </w:p>
        </w:tc>
        <w:tc>
          <w:tcPr>
            <w:tcW w:w="2768" w:type="pct"/>
            <w:shd w:val="clear" w:color="auto" w:fill="auto"/>
            <w:vAlign w:val="center"/>
          </w:tcPr>
          <w:p w14:paraId="22A45C8B">
            <w:pPr>
              <w:snapToGrid w:val="0"/>
              <w:spacing w:after="0" w:line="240" w:lineRule="auto"/>
              <w:jc w:val="left"/>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kern w:val="2"/>
                <w:sz w:val="21"/>
                <w:szCs w:val="21"/>
                <w:highlight w:val="none"/>
                <w:vertAlign w:val="baseline"/>
              </w:rPr>
              <w:t>浦合路人行道</w:t>
            </w:r>
            <w:r>
              <w:rPr>
                <w:rFonts w:hint="eastAsia" w:ascii="宋体" w:hAnsi="宋体" w:eastAsia="宋体" w:cs="宋体"/>
                <w:color w:val="auto"/>
                <w:kern w:val="2"/>
                <w:sz w:val="21"/>
                <w:szCs w:val="21"/>
                <w:highlight w:val="none"/>
                <w:vertAlign w:val="baseline"/>
                <w:lang w:eastAsia="zh-CN"/>
              </w:rPr>
              <w:t>、佛手湖路、营盘山路、云出路、一号路至沿山大道、五号路、龙谷路（蜂巢酒店段）、龙谷路（沿山大道段）、龙谷路新增、十三号路</w:t>
            </w:r>
          </w:p>
        </w:tc>
        <w:tc>
          <w:tcPr>
            <w:tcW w:w="512" w:type="pct"/>
            <w:shd w:val="clear" w:color="auto" w:fill="auto"/>
            <w:vAlign w:val="center"/>
          </w:tcPr>
          <w:p w14:paraId="01CC4C71">
            <w:pPr>
              <w:snapToGrid w:val="0"/>
              <w:spacing w:after="0" w:line="240" w:lineRule="auto"/>
              <w:jc w:val="left"/>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kern w:val="2"/>
                <w:sz w:val="21"/>
                <w:szCs w:val="21"/>
                <w:highlight w:val="none"/>
                <w:vertAlign w:val="baseline"/>
                <w:lang w:val="en-US" w:eastAsia="zh-CN"/>
              </w:rPr>
              <w:t>约186500㎡</w:t>
            </w:r>
          </w:p>
        </w:tc>
        <w:tc>
          <w:tcPr>
            <w:tcW w:w="552" w:type="pct"/>
            <w:shd w:val="clear" w:color="auto" w:fill="auto"/>
            <w:vAlign w:val="center"/>
          </w:tcPr>
          <w:p w14:paraId="275AE6EA">
            <w:pPr>
              <w:snapToGrid w:val="0"/>
              <w:spacing w:after="0" w:line="240" w:lineRule="auto"/>
              <w:jc w:val="center"/>
              <w:rPr>
                <w:rFonts w:hint="eastAsia" w:ascii="宋体" w:hAnsi="宋体" w:eastAsia="宋体" w:cs="宋体"/>
                <w:color w:val="auto"/>
                <w:kern w:val="2"/>
                <w:sz w:val="21"/>
                <w:szCs w:val="21"/>
                <w:highlight w:val="none"/>
                <w:vertAlign w:val="baseline"/>
                <w:lang w:val="en-US" w:eastAsia="zh-CN"/>
              </w:rPr>
            </w:pPr>
          </w:p>
        </w:tc>
        <w:tc>
          <w:tcPr>
            <w:tcW w:w="533" w:type="pct"/>
            <w:shd w:val="clear" w:color="auto" w:fill="auto"/>
            <w:vAlign w:val="center"/>
          </w:tcPr>
          <w:p w14:paraId="7FB0215A">
            <w:pPr>
              <w:snapToGrid w:val="0"/>
              <w:spacing w:after="0" w:line="240" w:lineRule="auto"/>
              <w:jc w:val="center"/>
              <w:rPr>
                <w:rFonts w:hint="eastAsia" w:ascii="宋体" w:hAnsi="宋体" w:eastAsia="宋体" w:cs="宋体"/>
                <w:color w:val="auto"/>
                <w:kern w:val="2"/>
                <w:sz w:val="21"/>
                <w:szCs w:val="21"/>
                <w:highlight w:val="none"/>
                <w:vertAlign w:val="baseline"/>
                <w:lang w:val="en-US" w:eastAsia="zh-CN"/>
              </w:rPr>
            </w:pPr>
          </w:p>
        </w:tc>
      </w:tr>
      <w:tr w14:paraId="05614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28" w:type="dxa"/>
            <w:bottom w:w="80" w:type="dxa"/>
            <w:right w:w="128" w:type="dxa"/>
          </w:tblCellMar>
        </w:tblPrEx>
        <w:trPr>
          <w:trHeight w:val="1129" w:hRule="atLeast"/>
        </w:trPr>
        <w:tc>
          <w:tcPr>
            <w:tcW w:w="252" w:type="pct"/>
            <w:vMerge w:val="continue"/>
          </w:tcPr>
          <w:p w14:paraId="55BF69CC">
            <w:pPr>
              <w:snapToGrid w:val="0"/>
              <w:spacing w:after="0" w:line="240" w:lineRule="auto"/>
              <w:rPr>
                <w:rFonts w:hint="eastAsia" w:ascii="宋体" w:hAnsi="宋体" w:eastAsia="宋体" w:cs="宋体"/>
                <w:color w:val="auto"/>
                <w:kern w:val="2"/>
                <w:sz w:val="21"/>
                <w:szCs w:val="21"/>
                <w:highlight w:val="none"/>
                <w:vertAlign w:val="baseline"/>
              </w:rPr>
            </w:pPr>
          </w:p>
        </w:tc>
        <w:tc>
          <w:tcPr>
            <w:tcW w:w="379" w:type="pct"/>
            <w:vAlign w:val="center"/>
          </w:tcPr>
          <w:p w14:paraId="24393B75">
            <w:pPr>
              <w:snapToGrid w:val="0"/>
              <w:spacing w:after="0" w:line="240" w:lineRule="auto"/>
              <w:jc w:val="center"/>
              <w:rPr>
                <w:rFonts w:hint="eastAsia" w:ascii="宋体" w:hAnsi="宋体" w:eastAsia="宋体" w:cs="宋体"/>
                <w:color w:val="auto"/>
                <w:kern w:val="2"/>
                <w:sz w:val="21"/>
                <w:szCs w:val="21"/>
                <w:highlight w:val="none"/>
                <w:vertAlign w:val="baseline"/>
                <w:lang w:val="en-US" w:eastAsia="zh-CN"/>
              </w:rPr>
            </w:pPr>
            <w:r>
              <w:rPr>
                <w:rFonts w:hint="eastAsia" w:ascii="宋体" w:hAnsi="宋体" w:eastAsia="宋体" w:cs="宋体"/>
                <w:color w:val="auto"/>
                <w:kern w:val="2"/>
                <w:sz w:val="21"/>
                <w:szCs w:val="21"/>
                <w:highlight w:val="none"/>
                <w:vertAlign w:val="baseline"/>
                <w:lang w:val="en-US" w:eastAsia="zh-CN"/>
              </w:rPr>
              <w:t>次要道路</w:t>
            </w:r>
          </w:p>
        </w:tc>
        <w:tc>
          <w:tcPr>
            <w:tcW w:w="2768" w:type="pct"/>
            <w:vAlign w:val="center"/>
          </w:tcPr>
          <w:p w14:paraId="6BE84F92">
            <w:pPr>
              <w:snapToGrid w:val="0"/>
              <w:spacing w:after="0" w:line="240" w:lineRule="auto"/>
              <w:jc w:val="left"/>
              <w:rPr>
                <w:rFonts w:hint="eastAsia" w:ascii="宋体" w:hAnsi="宋体" w:eastAsia="宋体" w:cs="宋体"/>
                <w:color w:val="auto"/>
                <w:kern w:val="2"/>
                <w:sz w:val="21"/>
                <w:szCs w:val="21"/>
                <w:highlight w:val="none"/>
                <w:vertAlign w:val="baseline"/>
                <w:lang w:eastAsia="zh-CN"/>
              </w:rPr>
            </w:pPr>
            <w:r>
              <w:rPr>
                <w:rFonts w:hint="eastAsia" w:ascii="宋体" w:hAnsi="宋体" w:eastAsia="宋体" w:cs="宋体"/>
                <w:color w:val="auto"/>
                <w:kern w:val="2"/>
                <w:sz w:val="21"/>
                <w:szCs w:val="21"/>
                <w:highlight w:val="none"/>
                <w:vertAlign w:val="baseline"/>
              </w:rPr>
              <w:t>韩培信墓道两侧</w:t>
            </w:r>
            <w:r>
              <w:rPr>
                <w:rFonts w:hint="eastAsia" w:ascii="宋体" w:hAnsi="宋体" w:eastAsia="宋体" w:cs="宋体"/>
                <w:color w:val="auto"/>
                <w:kern w:val="2"/>
                <w:sz w:val="21"/>
                <w:szCs w:val="21"/>
                <w:highlight w:val="none"/>
                <w:vertAlign w:val="baseline"/>
                <w:lang w:eastAsia="zh-CN"/>
              </w:rPr>
              <w:t>、烈士碑、喜客山庄内部道路、同心路（原防火大队-岭子口-元龙）、珍珠南路（元龙交界处至沿山大道）、绿园路（沿山大道至头山门）、绿园路（头山门至定山寺）、绿园路水沟、二号路桥至垃圾中转站、广州局辅助路（广州局段）、广州局辅助路（沿山大道段）、西海路（营盘山路至沿山大道桥下）、管办旁路（西海路至沿山大道）、八一新村、配套路、采石场</w:t>
            </w:r>
          </w:p>
        </w:tc>
        <w:tc>
          <w:tcPr>
            <w:tcW w:w="512" w:type="pct"/>
            <w:vAlign w:val="center"/>
          </w:tcPr>
          <w:p w14:paraId="1CE1B7B2">
            <w:pPr>
              <w:snapToGrid w:val="0"/>
              <w:spacing w:after="0" w:line="240" w:lineRule="auto"/>
              <w:jc w:val="left"/>
              <w:rPr>
                <w:rFonts w:hint="eastAsia" w:ascii="宋体" w:hAnsi="宋体" w:eastAsia="宋体" w:cs="宋体"/>
                <w:color w:val="auto"/>
                <w:kern w:val="2"/>
                <w:sz w:val="21"/>
                <w:szCs w:val="21"/>
                <w:highlight w:val="none"/>
                <w:vertAlign w:val="baseline"/>
                <w:lang w:val="en-US" w:eastAsia="zh-CN"/>
              </w:rPr>
            </w:pPr>
            <w:r>
              <w:rPr>
                <w:rFonts w:hint="eastAsia" w:ascii="宋体" w:hAnsi="宋体" w:eastAsia="宋体" w:cs="宋体"/>
                <w:color w:val="auto"/>
                <w:kern w:val="2"/>
                <w:sz w:val="21"/>
                <w:szCs w:val="21"/>
                <w:highlight w:val="none"/>
                <w:vertAlign w:val="baseline"/>
                <w:lang w:val="en-US" w:eastAsia="zh-CN"/>
              </w:rPr>
              <w:t>约37800㎡</w:t>
            </w:r>
          </w:p>
        </w:tc>
        <w:tc>
          <w:tcPr>
            <w:tcW w:w="552" w:type="pct"/>
            <w:vAlign w:val="center"/>
          </w:tcPr>
          <w:p w14:paraId="28F35B78">
            <w:pPr>
              <w:snapToGrid w:val="0"/>
              <w:spacing w:after="0" w:line="240" w:lineRule="auto"/>
              <w:jc w:val="center"/>
              <w:rPr>
                <w:rFonts w:hint="eastAsia" w:ascii="宋体" w:hAnsi="宋体" w:eastAsia="宋体" w:cs="宋体"/>
                <w:color w:val="auto"/>
                <w:kern w:val="2"/>
                <w:sz w:val="21"/>
                <w:szCs w:val="21"/>
                <w:highlight w:val="none"/>
                <w:vertAlign w:val="baseline"/>
                <w:lang w:val="en-US" w:eastAsia="zh-CN"/>
              </w:rPr>
            </w:pPr>
          </w:p>
        </w:tc>
        <w:tc>
          <w:tcPr>
            <w:tcW w:w="533" w:type="pct"/>
            <w:vAlign w:val="center"/>
          </w:tcPr>
          <w:p w14:paraId="0ED7900F">
            <w:pPr>
              <w:snapToGrid w:val="0"/>
              <w:spacing w:after="0" w:line="240" w:lineRule="auto"/>
              <w:jc w:val="center"/>
              <w:rPr>
                <w:rFonts w:hint="eastAsia" w:ascii="宋体" w:hAnsi="宋体" w:eastAsia="宋体" w:cs="宋体"/>
                <w:color w:val="auto"/>
                <w:kern w:val="2"/>
                <w:sz w:val="21"/>
                <w:szCs w:val="21"/>
                <w:highlight w:val="none"/>
                <w:vertAlign w:val="baseline"/>
                <w:lang w:val="en-US" w:eastAsia="zh-CN"/>
              </w:rPr>
            </w:pPr>
          </w:p>
        </w:tc>
      </w:tr>
      <w:tr w14:paraId="03AF0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28" w:type="dxa"/>
            <w:bottom w:w="80" w:type="dxa"/>
            <w:right w:w="128" w:type="dxa"/>
          </w:tblCellMar>
        </w:tblPrEx>
        <w:trPr>
          <w:trHeight w:val="1699" w:hRule="atLeast"/>
        </w:trPr>
        <w:tc>
          <w:tcPr>
            <w:tcW w:w="252" w:type="pct"/>
            <w:vMerge w:val="continue"/>
            <w:vAlign w:val="center"/>
          </w:tcPr>
          <w:p w14:paraId="271450DC">
            <w:pPr>
              <w:snapToGrid w:val="0"/>
              <w:spacing w:after="0" w:line="240" w:lineRule="auto"/>
              <w:jc w:val="center"/>
              <w:rPr>
                <w:rFonts w:hint="eastAsia" w:ascii="宋体" w:hAnsi="宋体" w:eastAsia="宋体" w:cs="宋体"/>
                <w:color w:val="auto"/>
                <w:kern w:val="2"/>
                <w:sz w:val="21"/>
                <w:szCs w:val="21"/>
                <w:highlight w:val="none"/>
                <w:vertAlign w:val="baseline"/>
                <w:lang w:val="en-US" w:eastAsia="zh-CN"/>
              </w:rPr>
            </w:pPr>
          </w:p>
        </w:tc>
        <w:tc>
          <w:tcPr>
            <w:tcW w:w="379" w:type="pct"/>
            <w:vAlign w:val="center"/>
          </w:tcPr>
          <w:p w14:paraId="2714FB29">
            <w:pPr>
              <w:snapToGrid w:val="0"/>
              <w:spacing w:after="0" w:line="240" w:lineRule="auto"/>
              <w:jc w:val="center"/>
              <w:rPr>
                <w:rFonts w:hint="eastAsia" w:ascii="宋体" w:hAnsi="宋体" w:eastAsia="宋体" w:cs="宋体"/>
                <w:color w:val="auto"/>
                <w:kern w:val="2"/>
                <w:sz w:val="21"/>
                <w:szCs w:val="21"/>
                <w:highlight w:val="none"/>
                <w:vertAlign w:val="baseline"/>
                <w:lang w:val="en-US" w:eastAsia="zh-CN"/>
              </w:rPr>
            </w:pPr>
            <w:r>
              <w:rPr>
                <w:rFonts w:hint="eastAsia" w:ascii="宋体" w:hAnsi="宋体" w:eastAsia="宋体" w:cs="宋体"/>
                <w:color w:val="auto"/>
                <w:kern w:val="2"/>
                <w:sz w:val="21"/>
                <w:szCs w:val="21"/>
                <w:highlight w:val="none"/>
                <w:vertAlign w:val="baseline"/>
                <w:lang w:val="en-US" w:eastAsia="zh-CN"/>
              </w:rPr>
              <w:t>路侧空地</w:t>
            </w:r>
          </w:p>
        </w:tc>
        <w:tc>
          <w:tcPr>
            <w:tcW w:w="2768" w:type="pct"/>
            <w:vAlign w:val="center"/>
          </w:tcPr>
          <w:p w14:paraId="7101174E">
            <w:pPr>
              <w:snapToGrid w:val="0"/>
              <w:spacing w:after="0" w:line="240" w:lineRule="auto"/>
              <w:jc w:val="left"/>
              <w:rPr>
                <w:rFonts w:hint="eastAsia" w:ascii="宋体" w:hAnsi="宋体" w:eastAsia="宋体" w:cs="宋体"/>
                <w:color w:val="auto"/>
                <w:kern w:val="2"/>
                <w:sz w:val="21"/>
                <w:szCs w:val="21"/>
                <w:highlight w:val="none"/>
                <w:vertAlign w:val="baseline"/>
                <w:lang w:val="en-US" w:eastAsia="zh-CN"/>
              </w:rPr>
            </w:pPr>
            <w:r>
              <w:rPr>
                <w:rFonts w:hint="eastAsia" w:ascii="宋体" w:hAnsi="宋体" w:eastAsia="宋体" w:cs="宋体"/>
                <w:color w:val="auto"/>
                <w:kern w:val="2"/>
                <w:sz w:val="21"/>
                <w:szCs w:val="21"/>
                <w:highlight w:val="none"/>
                <w:vertAlign w:val="baseline"/>
                <w:lang w:val="en-US" w:eastAsia="zh-CN"/>
              </w:rPr>
              <w:t>韩培信墓道两侧（上山步道及两侧可视范围）、烈士碑（两侧可视）、喜客山庄内部道路（可视范围）、佛展路（一侧可视范围)、同心路（原防火大队-岭子口-元龙 可视范围）、珍珠南路（元龙交界处至沿山大道 可视范围）、绿园路（沿山大道至头山门 可视范围）、绿园路（头山门至定山寺 可视范围）、五号路（两侧可视）、二号路桥至垃圾中转站（两侧可视）、广州局辅助路（两侧可视范围）、管办旁路（西海路至沿山大道 两侧可视）、八一新村（两侧可视）、配套路（两侧可视）</w:t>
            </w:r>
          </w:p>
        </w:tc>
        <w:tc>
          <w:tcPr>
            <w:tcW w:w="512" w:type="pct"/>
            <w:vAlign w:val="center"/>
          </w:tcPr>
          <w:p w14:paraId="00CF76D7">
            <w:pPr>
              <w:snapToGrid w:val="0"/>
              <w:spacing w:after="0" w:line="240" w:lineRule="auto"/>
              <w:jc w:val="left"/>
              <w:rPr>
                <w:rFonts w:hint="eastAsia" w:ascii="宋体" w:hAnsi="宋体" w:eastAsia="宋体" w:cs="宋体"/>
                <w:color w:val="auto"/>
                <w:kern w:val="2"/>
                <w:sz w:val="21"/>
                <w:szCs w:val="21"/>
                <w:highlight w:val="none"/>
                <w:vertAlign w:val="baseline"/>
                <w:lang w:val="en-US" w:eastAsia="zh-CN"/>
              </w:rPr>
            </w:pPr>
            <w:r>
              <w:rPr>
                <w:rFonts w:hint="eastAsia" w:ascii="宋体" w:hAnsi="宋体" w:eastAsia="宋体" w:cs="宋体"/>
                <w:color w:val="auto"/>
                <w:kern w:val="2"/>
                <w:sz w:val="21"/>
                <w:szCs w:val="21"/>
                <w:highlight w:val="none"/>
                <w:vertAlign w:val="baseline"/>
                <w:lang w:val="en-US" w:eastAsia="zh-CN"/>
              </w:rPr>
              <w:t>约173200㎡</w:t>
            </w:r>
          </w:p>
        </w:tc>
        <w:tc>
          <w:tcPr>
            <w:tcW w:w="552" w:type="pct"/>
            <w:vAlign w:val="center"/>
          </w:tcPr>
          <w:p w14:paraId="75EDA6D3">
            <w:pPr>
              <w:snapToGrid w:val="0"/>
              <w:spacing w:after="0" w:line="240" w:lineRule="auto"/>
              <w:jc w:val="center"/>
              <w:rPr>
                <w:rFonts w:hint="eastAsia" w:ascii="宋体" w:hAnsi="宋体" w:eastAsia="宋体" w:cs="宋体"/>
                <w:color w:val="auto"/>
                <w:kern w:val="2"/>
                <w:sz w:val="21"/>
                <w:szCs w:val="21"/>
                <w:highlight w:val="none"/>
                <w:vertAlign w:val="baseline"/>
                <w:lang w:val="en-US" w:eastAsia="zh-CN"/>
              </w:rPr>
            </w:pPr>
          </w:p>
        </w:tc>
        <w:tc>
          <w:tcPr>
            <w:tcW w:w="533" w:type="pct"/>
            <w:vAlign w:val="center"/>
          </w:tcPr>
          <w:p w14:paraId="6102AC52">
            <w:pPr>
              <w:snapToGrid w:val="0"/>
              <w:spacing w:after="0" w:line="240" w:lineRule="auto"/>
              <w:jc w:val="center"/>
              <w:rPr>
                <w:rFonts w:hint="eastAsia" w:ascii="宋体" w:hAnsi="宋体" w:eastAsia="宋体" w:cs="宋体"/>
                <w:color w:val="auto"/>
                <w:kern w:val="2"/>
                <w:sz w:val="21"/>
                <w:szCs w:val="21"/>
                <w:highlight w:val="none"/>
                <w:vertAlign w:val="baseline"/>
                <w:lang w:val="en-US" w:eastAsia="zh-CN"/>
              </w:rPr>
            </w:pPr>
          </w:p>
        </w:tc>
      </w:tr>
      <w:tr w14:paraId="5358F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28" w:type="dxa"/>
            <w:bottom w:w="80" w:type="dxa"/>
            <w:right w:w="128" w:type="dxa"/>
          </w:tblCellMar>
        </w:tblPrEx>
        <w:trPr>
          <w:trHeight w:val="859" w:hRule="atLeast"/>
        </w:trPr>
        <w:tc>
          <w:tcPr>
            <w:tcW w:w="252" w:type="pct"/>
            <w:vMerge w:val="continue"/>
            <w:vAlign w:val="center"/>
          </w:tcPr>
          <w:p w14:paraId="2103EFA4">
            <w:pPr>
              <w:snapToGrid w:val="0"/>
              <w:spacing w:after="0" w:line="240" w:lineRule="auto"/>
              <w:jc w:val="center"/>
              <w:rPr>
                <w:rFonts w:hint="eastAsia" w:ascii="宋体" w:hAnsi="宋体" w:eastAsia="宋体" w:cs="宋体"/>
                <w:color w:val="auto"/>
                <w:kern w:val="2"/>
                <w:sz w:val="21"/>
                <w:szCs w:val="21"/>
                <w:highlight w:val="none"/>
                <w:vertAlign w:val="baseline"/>
                <w:lang w:val="en-US" w:eastAsia="zh-CN"/>
              </w:rPr>
            </w:pPr>
          </w:p>
        </w:tc>
        <w:tc>
          <w:tcPr>
            <w:tcW w:w="379" w:type="pct"/>
            <w:vAlign w:val="center"/>
          </w:tcPr>
          <w:p w14:paraId="7FABE537">
            <w:pPr>
              <w:snapToGrid w:val="0"/>
              <w:spacing w:after="0" w:line="240" w:lineRule="auto"/>
              <w:jc w:val="center"/>
              <w:rPr>
                <w:rFonts w:hint="eastAsia" w:ascii="宋体" w:hAnsi="宋体" w:eastAsia="宋体" w:cs="宋体"/>
                <w:color w:val="auto"/>
                <w:kern w:val="2"/>
                <w:sz w:val="21"/>
                <w:szCs w:val="21"/>
                <w:highlight w:val="none"/>
                <w:vertAlign w:val="baseline"/>
                <w:lang w:val="en-US" w:eastAsia="zh-CN"/>
              </w:rPr>
            </w:pPr>
            <w:r>
              <w:rPr>
                <w:rFonts w:hint="eastAsia" w:ascii="宋体" w:hAnsi="宋体" w:eastAsia="宋体" w:cs="宋体"/>
                <w:color w:val="auto"/>
                <w:kern w:val="2"/>
                <w:sz w:val="21"/>
                <w:szCs w:val="21"/>
                <w:highlight w:val="none"/>
                <w:vertAlign w:val="baseline"/>
                <w:lang w:val="en-US" w:eastAsia="zh-CN"/>
              </w:rPr>
              <w:t>其他</w:t>
            </w:r>
          </w:p>
        </w:tc>
        <w:tc>
          <w:tcPr>
            <w:tcW w:w="2768" w:type="pct"/>
            <w:vAlign w:val="center"/>
          </w:tcPr>
          <w:p w14:paraId="12A3B9EC">
            <w:pPr>
              <w:snapToGrid w:val="0"/>
              <w:spacing w:after="0" w:line="240" w:lineRule="auto"/>
              <w:jc w:val="left"/>
              <w:rPr>
                <w:rFonts w:hint="eastAsia" w:ascii="宋体" w:hAnsi="宋体" w:eastAsia="宋体" w:cs="宋体"/>
                <w:color w:val="auto"/>
                <w:kern w:val="2"/>
                <w:sz w:val="21"/>
                <w:szCs w:val="21"/>
                <w:highlight w:val="none"/>
                <w:vertAlign w:val="baseline"/>
                <w:lang w:val="en-US" w:eastAsia="zh-CN"/>
              </w:rPr>
            </w:pPr>
            <w:r>
              <w:rPr>
                <w:rFonts w:hint="eastAsia" w:ascii="宋体" w:hAnsi="宋体" w:eastAsia="宋体" w:cs="宋体"/>
                <w:color w:val="auto"/>
                <w:kern w:val="2"/>
                <w:sz w:val="21"/>
                <w:szCs w:val="21"/>
                <w:highlight w:val="none"/>
                <w:vertAlign w:val="baseline"/>
                <w:lang w:val="en-US" w:eastAsia="zh-CN"/>
              </w:rPr>
              <w:t>进山野道保洁、国控点雾炮降尘以及拆迁片区、八一新村、管办、大队和定山寺垃圾桶清运等</w:t>
            </w:r>
          </w:p>
        </w:tc>
        <w:tc>
          <w:tcPr>
            <w:tcW w:w="512" w:type="pct"/>
            <w:vAlign w:val="center"/>
          </w:tcPr>
          <w:p w14:paraId="4049E436">
            <w:pPr>
              <w:snapToGrid w:val="0"/>
              <w:spacing w:after="0" w:line="240" w:lineRule="auto"/>
              <w:jc w:val="left"/>
              <w:rPr>
                <w:rFonts w:hint="eastAsia" w:ascii="宋体" w:hAnsi="宋体" w:eastAsia="宋体" w:cs="宋体"/>
                <w:color w:val="auto"/>
                <w:kern w:val="2"/>
                <w:sz w:val="21"/>
                <w:szCs w:val="21"/>
                <w:highlight w:val="none"/>
                <w:vertAlign w:val="baseline"/>
                <w:lang w:val="en-US" w:eastAsia="zh-CN"/>
              </w:rPr>
            </w:pPr>
            <w:r>
              <w:rPr>
                <w:rFonts w:hint="eastAsia" w:ascii="宋体" w:hAnsi="宋体" w:eastAsia="宋体" w:cs="宋体"/>
                <w:color w:val="auto"/>
                <w:kern w:val="2"/>
                <w:sz w:val="21"/>
                <w:szCs w:val="21"/>
                <w:highlight w:val="none"/>
                <w:vertAlign w:val="baseline"/>
                <w:lang w:val="en-US" w:eastAsia="zh-CN"/>
              </w:rPr>
              <w:t>约40组</w:t>
            </w:r>
          </w:p>
        </w:tc>
        <w:tc>
          <w:tcPr>
            <w:tcW w:w="552" w:type="pct"/>
            <w:vAlign w:val="center"/>
          </w:tcPr>
          <w:p w14:paraId="56B27E7B">
            <w:pPr>
              <w:snapToGrid w:val="0"/>
              <w:spacing w:after="0" w:line="240" w:lineRule="auto"/>
              <w:jc w:val="center"/>
              <w:rPr>
                <w:rFonts w:hint="eastAsia" w:ascii="宋体" w:hAnsi="宋体" w:eastAsia="宋体" w:cs="宋体"/>
                <w:color w:val="auto"/>
                <w:kern w:val="2"/>
                <w:sz w:val="21"/>
                <w:szCs w:val="21"/>
                <w:highlight w:val="none"/>
                <w:vertAlign w:val="baseline"/>
                <w:lang w:val="en-US" w:eastAsia="zh-CN"/>
              </w:rPr>
            </w:pPr>
          </w:p>
        </w:tc>
        <w:tc>
          <w:tcPr>
            <w:tcW w:w="533" w:type="pct"/>
            <w:vAlign w:val="center"/>
          </w:tcPr>
          <w:p w14:paraId="73E575A6">
            <w:pPr>
              <w:snapToGrid w:val="0"/>
              <w:spacing w:after="0" w:line="240" w:lineRule="auto"/>
              <w:jc w:val="center"/>
              <w:rPr>
                <w:rFonts w:hint="eastAsia" w:ascii="宋体" w:hAnsi="宋体" w:eastAsia="宋体" w:cs="宋体"/>
                <w:color w:val="auto"/>
                <w:kern w:val="2"/>
                <w:sz w:val="21"/>
                <w:szCs w:val="21"/>
                <w:highlight w:val="none"/>
                <w:vertAlign w:val="baseline"/>
                <w:lang w:val="en-US" w:eastAsia="zh-CN"/>
              </w:rPr>
            </w:pPr>
          </w:p>
        </w:tc>
      </w:tr>
      <w:tr w14:paraId="5CEA4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28" w:type="dxa"/>
            <w:bottom w:w="80" w:type="dxa"/>
            <w:right w:w="128" w:type="dxa"/>
          </w:tblCellMar>
        </w:tblPrEx>
        <w:trPr>
          <w:trHeight w:val="979" w:hRule="atLeast"/>
        </w:trPr>
        <w:tc>
          <w:tcPr>
            <w:tcW w:w="252" w:type="pct"/>
            <w:vMerge w:val="restart"/>
            <w:vAlign w:val="center"/>
          </w:tcPr>
          <w:p w14:paraId="12A96387">
            <w:pPr>
              <w:snapToGrid w:val="0"/>
              <w:spacing w:after="0" w:line="240" w:lineRule="auto"/>
              <w:jc w:val="center"/>
              <w:rPr>
                <w:rFonts w:hint="eastAsia" w:ascii="宋体" w:hAnsi="宋体" w:eastAsia="宋体" w:cs="宋体"/>
                <w:color w:val="auto"/>
                <w:kern w:val="2"/>
                <w:sz w:val="21"/>
                <w:szCs w:val="21"/>
                <w:highlight w:val="none"/>
                <w:vertAlign w:val="baseline"/>
                <w:lang w:val="en-US" w:eastAsia="zh-CN"/>
              </w:rPr>
            </w:pPr>
            <w:r>
              <w:rPr>
                <w:rFonts w:hint="eastAsia" w:ascii="宋体" w:hAnsi="宋体" w:eastAsia="宋体" w:cs="宋体"/>
                <w:color w:val="auto"/>
                <w:kern w:val="2"/>
                <w:sz w:val="21"/>
                <w:szCs w:val="21"/>
                <w:highlight w:val="none"/>
                <w:vertAlign w:val="baseline"/>
                <w:lang w:val="en-US" w:eastAsia="zh-CN"/>
              </w:rPr>
              <w:t>绿化</w:t>
            </w:r>
          </w:p>
        </w:tc>
        <w:tc>
          <w:tcPr>
            <w:tcW w:w="379" w:type="pct"/>
            <w:vAlign w:val="center"/>
          </w:tcPr>
          <w:p w14:paraId="472C9B3C">
            <w:pPr>
              <w:snapToGrid w:val="0"/>
              <w:spacing w:after="0" w:line="240" w:lineRule="auto"/>
              <w:jc w:val="center"/>
              <w:rPr>
                <w:rFonts w:hint="eastAsia" w:ascii="宋体" w:hAnsi="宋体" w:eastAsia="宋体" w:cs="宋体"/>
                <w:color w:val="auto"/>
                <w:kern w:val="2"/>
                <w:sz w:val="21"/>
                <w:szCs w:val="21"/>
                <w:highlight w:val="none"/>
                <w:vertAlign w:val="baseline"/>
                <w:lang w:val="en-US" w:eastAsia="zh-CN"/>
              </w:rPr>
            </w:pPr>
            <w:r>
              <w:rPr>
                <w:rFonts w:hint="eastAsia" w:ascii="宋体" w:hAnsi="宋体" w:eastAsia="宋体" w:cs="宋体"/>
                <w:color w:val="auto"/>
                <w:kern w:val="2"/>
                <w:sz w:val="21"/>
                <w:szCs w:val="21"/>
                <w:highlight w:val="none"/>
                <w:vertAlign w:val="baseline"/>
                <w:lang w:val="en-US" w:eastAsia="zh-CN"/>
              </w:rPr>
              <w:t>绿地</w:t>
            </w:r>
          </w:p>
        </w:tc>
        <w:tc>
          <w:tcPr>
            <w:tcW w:w="2768" w:type="pct"/>
            <w:shd w:val="clear" w:color="auto" w:fill="auto"/>
            <w:vAlign w:val="center"/>
          </w:tcPr>
          <w:p w14:paraId="4816BBFE">
            <w:pPr>
              <w:snapToGrid w:val="0"/>
              <w:spacing w:after="0" w:line="240" w:lineRule="auto"/>
              <w:jc w:val="left"/>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kern w:val="2"/>
                <w:sz w:val="21"/>
                <w:szCs w:val="21"/>
                <w:highlight w:val="none"/>
                <w:vertAlign w:val="baseline"/>
                <w:lang w:val="en-US" w:eastAsia="zh-CN"/>
              </w:rPr>
              <w:t>浦合路两侧、佛展路两侧、绿园路两侧以及龙谷区域</w:t>
            </w:r>
          </w:p>
        </w:tc>
        <w:tc>
          <w:tcPr>
            <w:tcW w:w="512" w:type="pct"/>
            <w:shd w:val="clear" w:color="auto" w:fill="auto"/>
            <w:vAlign w:val="center"/>
          </w:tcPr>
          <w:p w14:paraId="2A33ADDA">
            <w:pPr>
              <w:snapToGrid w:val="0"/>
              <w:spacing w:after="0" w:line="240" w:lineRule="auto"/>
              <w:jc w:val="left"/>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kern w:val="2"/>
                <w:sz w:val="21"/>
                <w:szCs w:val="21"/>
                <w:highlight w:val="none"/>
                <w:vertAlign w:val="baseline"/>
                <w:lang w:val="en-US" w:eastAsia="zh-CN"/>
              </w:rPr>
              <w:t>约268200㎡</w:t>
            </w:r>
          </w:p>
        </w:tc>
        <w:tc>
          <w:tcPr>
            <w:tcW w:w="552" w:type="pct"/>
            <w:vAlign w:val="center"/>
          </w:tcPr>
          <w:p w14:paraId="39B86EE0">
            <w:pPr>
              <w:snapToGrid w:val="0"/>
              <w:spacing w:after="0" w:line="240" w:lineRule="auto"/>
              <w:jc w:val="center"/>
              <w:rPr>
                <w:rFonts w:hint="eastAsia" w:ascii="宋体" w:hAnsi="宋体" w:eastAsia="宋体" w:cs="宋体"/>
                <w:color w:val="auto"/>
                <w:kern w:val="2"/>
                <w:sz w:val="21"/>
                <w:szCs w:val="21"/>
                <w:highlight w:val="none"/>
                <w:vertAlign w:val="baseline"/>
                <w:lang w:val="en-US" w:eastAsia="zh-CN"/>
              </w:rPr>
            </w:pPr>
          </w:p>
        </w:tc>
        <w:tc>
          <w:tcPr>
            <w:tcW w:w="533" w:type="pct"/>
            <w:vAlign w:val="center"/>
          </w:tcPr>
          <w:p w14:paraId="7AE0F8D0">
            <w:pPr>
              <w:snapToGrid w:val="0"/>
              <w:spacing w:after="0" w:line="240" w:lineRule="auto"/>
              <w:jc w:val="center"/>
              <w:rPr>
                <w:rFonts w:hint="eastAsia" w:ascii="宋体" w:hAnsi="宋体" w:eastAsia="宋体" w:cs="宋体"/>
                <w:color w:val="auto"/>
                <w:kern w:val="2"/>
                <w:sz w:val="21"/>
                <w:szCs w:val="21"/>
                <w:highlight w:val="none"/>
                <w:vertAlign w:val="baseline"/>
                <w:lang w:val="en-US" w:eastAsia="zh-CN"/>
              </w:rPr>
            </w:pPr>
          </w:p>
        </w:tc>
      </w:tr>
      <w:tr w14:paraId="666D6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28" w:type="dxa"/>
            <w:bottom w:w="80" w:type="dxa"/>
            <w:right w:w="128" w:type="dxa"/>
          </w:tblCellMar>
        </w:tblPrEx>
        <w:trPr>
          <w:trHeight w:val="1074" w:hRule="atLeast"/>
        </w:trPr>
        <w:tc>
          <w:tcPr>
            <w:tcW w:w="252" w:type="pct"/>
            <w:vMerge w:val="continue"/>
            <w:vAlign w:val="center"/>
          </w:tcPr>
          <w:p w14:paraId="054FA0D2">
            <w:pPr>
              <w:snapToGrid w:val="0"/>
              <w:spacing w:after="0" w:line="240" w:lineRule="auto"/>
              <w:jc w:val="center"/>
              <w:rPr>
                <w:rFonts w:hint="eastAsia" w:ascii="宋体" w:hAnsi="宋体" w:eastAsia="宋体" w:cs="宋体"/>
                <w:color w:val="auto"/>
                <w:kern w:val="2"/>
                <w:sz w:val="21"/>
                <w:szCs w:val="21"/>
                <w:highlight w:val="none"/>
                <w:vertAlign w:val="baseline"/>
                <w:lang w:val="en-US" w:eastAsia="zh-CN"/>
              </w:rPr>
            </w:pPr>
          </w:p>
        </w:tc>
        <w:tc>
          <w:tcPr>
            <w:tcW w:w="379" w:type="pct"/>
            <w:vAlign w:val="center"/>
          </w:tcPr>
          <w:p w14:paraId="71253836">
            <w:pPr>
              <w:snapToGrid w:val="0"/>
              <w:spacing w:after="0" w:line="240" w:lineRule="auto"/>
              <w:jc w:val="center"/>
              <w:rPr>
                <w:rFonts w:hint="eastAsia" w:ascii="宋体" w:hAnsi="宋体" w:eastAsia="宋体" w:cs="宋体"/>
                <w:color w:val="auto"/>
                <w:kern w:val="2"/>
                <w:sz w:val="21"/>
                <w:szCs w:val="21"/>
                <w:highlight w:val="none"/>
                <w:vertAlign w:val="baseline"/>
                <w:lang w:val="en-US" w:eastAsia="zh-CN"/>
              </w:rPr>
            </w:pPr>
            <w:r>
              <w:rPr>
                <w:rFonts w:hint="eastAsia" w:ascii="宋体" w:hAnsi="宋体" w:eastAsia="宋体" w:cs="宋体"/>
                <w:color w:val="auto"/>
                <w:kern w:val="2"/>
                <w:sz w:val="21"/>
                <w:szCs w:val="21"/>
                <w:highlight w:val="none"/>
                <w:vertAlign w:val="baseline"/>
                <w:lang w:val="en-US" w:eastAsia="zh-CN"/>
              </w:rPr>
              <w:t>行道树</w:t>
            </w:r>
          </w:p>
        </w:tc>
        <w:tc>
          <w:tcPr>
            <w:tcW w:w="2768" w:type="pct"/>
            <w:shd w:val="clear" w:color="auto" w:fill="auto"/>
            <w:vAlign w:val="center"/>
          </w:tcPr>
          <w:p w14:paraId="4B2E1F68">
            <w:pPr>
              <w:snapToGrid w:val="0"/>
              <w:spacing w:after="0" w:line="240" w:lineRule="auto"/>
              <w:jc w:val="left"/>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kern w:val="2"/>
                <w:sz w:val="21"/>
                <w:szCs w:val="21"/>
                <w:highlight w:val="none"/>
                <w:vertAlign w:val="baseline"/>
                <w:lang w:val="en-US" w:eastAsia="zh-CN"/>
              </w:rPr>
              <w:t>浦合路、佛展路、同心路、龙谷路、云出路、营盘山路</w:t>
            </w:r>
          </w:p>
        </w:tc>
        <w:tc>
          <w:tcPr>
            <w:tcW w:w="512" w:type="pct"/>
            <w:shd w:val="clear" w:color="auto" w:fill="auto"/>
            <w:vAlign w:val="center"/>
          </w:tcPr>
          <w:p w14:paraId="35F6A245">
            <w:pPr>
              <w:snapToGrid w:val="0"/>
              <w:spacing w:after="0" w:line="240" w:lineRule="auto"/>
              <w:jc w:val="left"/>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kern w:val="2"/>
                <w:sz w:val="21"/>
                <w:szCs w:val="21"/>
                <w:highlight w:val="none"/>
                <w:vertAlign w:val="baseline"/>
                <w:lang w:val="en-US" w:eastAsia="zh-CN"/>
              </w:rPr>
              <w:t>约2297棵</w:t>
            </w:r>
          </w:p>
        </w:tc>
        <w:tc>
          <w:tcPr>
            <w:tcW w:w="552" w:type="pct"/>
            <w:vAlign w:val="center"/>
          </w:tcPr>
          <w:p w14:paraId="68332D9E">
            <w:pPr>
              <w:snapToGrid w:val="0"/>
              <w:spacing w:after="0" w:line="240" w:lineRule="auto"/>
              <w:jc w:val="center"/>
              <w:rPr>
                <w:rFonts w:hint="eastAsia" w:ascii="宋体" w:hAnsi="宋体" w:eastAsia="宋体" w:cs="宋体"/>
                <w:color w:val="auto"/>
                <w:kern w:val="2"/>
                <w:sz w:val="21"/>
                <w:szCs w:val="21"/>
                <w:highlight w:val="none"/>
                <w:vertAlign w:val="baseline"/>
                <w:lang w:val="en-US" w:eastAsia="zh-CN"/>
              </w:rPr>
            </w:pPr>
          </w:p>
        </w:tc>
        <w:tc>
          <w:tcPr>
            <w:tcW w:w="533" w:type="pct"/>
            <w:vAlign w:val="center"/>
          </w:tcPr>
          <w:p w14:paraId="5F5B053E">
            <w:pPr>
              <w:snapToGrid w:val="0"/>
              <w:spacing w:after="0" w:line="240" w:lineRule="auto"/>
              <w:jc w:val="center"/>
              <w:rPr>
                <w:rFonts w:hint="eastAsia" w:ascii="宋体" w:hAnsi="宋体" w:eastAsia="宋体" w:cs="宋体"/>
                <w:color w:val="auto"/>
                <w:kern w:val="2"/>
                <w:sz w:val="21"/>
                <w:szCs w:val="21"/>
                <w:highlight w:val="none"/>
                <w:vertAlign w:val="baseline"/>
                <w:lang w:val="en-US" w:eastAsia="zh-CN"/>
              </w:rPr>
            </w:pPr>
          </w:p>
        </w:tc>
      </w:tr>
      <w:tr w14:paraId="0451E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28" w:type="dxa"/>
            <w:bottom w:w="80" w:type="dxa"/>
            <w:right w:w="128" w:type="dxa"/>
          </w:tblCellMar>
        </w:tblPrEx>
        <w:trPr>
          <w:trHeight w:val="90" w:hRule="atLeast"/>
        </w:trPr>
        <w:tc>
          <w:tcPr>
            <w:tcW w:w="4466" w:type="pct"/>
            <w:gridSpan w:val="5"/>
            <w:vAlign w:val="center"/>
          </w:tcPr>
          <w:p w14:paraId="7AE07A20">
            <w:pPr>
              <w:snapToGrid w:val="0"/>
              <w:spacing w:after="0" w:line="240" w:lineRule="auto"/>
              <w:jc w:val="center"/>
              <w:rPr>
                <w:rFonts w:hint="eastAsia" w:ascii="宋体" w:hAnsi="宋体" w:eastAsia="宋体" w:cs="宋体"/>
                <w:color w:val="auto"/>
                <w:kern w:val="2"/>
                <w:sz w:val="21"/>
                <w:szCs w:val="21"/>
                <w:highlight w:val="none"/>
                <w:vertAlign w:val="baseline"/>
                <w:lang w:val="en-US" w:eastAsia="zh-CN"/>
              </w:rPr>
            </w:pPr>
            <w:r>
              <w:rPr>
                <w:rFonts w:hint="eastAsia" w:ascii="宋体" w:hAnsi="宋体" w:eastAsia="宋体" w:cs="宋体"/>
                <w:color w:val="auto"/>
                <w:highlight w:val="none"/>
              </w:rPr>
              <w:t>总价</w:t>
            </w:r>
            <w:r>
              <w:rPr>
                <w:rFonts w:hint="eastAsia" w:ascii="宋体" w:hAnsi="宋体" w:eastAsia="宋体" w:cs="宋体"/>
                <w:color w:val="auto"/>
                <w:highlight w:val="none"/>
                <w:lang w:val="en-US" w:eastAsia="zh-CN"/>
              </w:rPr>
              <w:t>合</w:t>
            </w:r>
            <w:r>
              <w:rPr>
                <w:rFonts w:hint="eastAsia" w:ascii="宋体" w:hAnsi="宋体" w:eastAsia="宋体" w:cs="宋体"/>
                <w:color w:val="auto"/>
                <w:highlight w:val="none"/>
              </w:rPr>
              <w:t>计</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元</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w:t>
            </w:r>
          </w:p>
        </w:tc>
        <w:tc>
          <w:tcPr>
            <w:tcW w:w="533" w:type="pct"/>
            <w:vAlign w:val="center"/>
          </w:tcPr>
          <w:p w14:paraId="1A86297D">
            <w:pPr>
              <w:snapToGrid w:val="0"/>
              <w:spacing w:after="0" w:line="240" w:lineRule="auto"/>
              <w:jc w:val="center"/>
              <w:rPr>
                <w:rFonts w:hint="eastAsia" w:ascii="宋体" w:hAnsi="宋体" w:eastAsia="宋体" w:cs="宋体"/>
                <w:color w:val="auto"/>
                <w:kern w:val="2"/>
                <w:sz w:val="21"/>
                <w:szCs w:val="21"/>
                <w:highlight w:val="none"/>
                <w:vertAlign w:val="baseline"/>
                <w:lang w:val="en-US" w:eastAsia="zh-CN"/>
              </w:rPr>
            </w:pPr>
          </w:p>
        </w:tc>
      </w:tr>
    </w:tbl>
    <w:p w14:paraId="6C473E80">
      <w:pPr>
        <w:pageBreakBefore w:val="0"/>
        <w:widowControl/>
        <w:kinsoku/>
        <w:wordWrap/>
        <w:overflowPunct/>
        <w:topLinePunct w:val="0"/>
        <w:autoSpaceDE/>
        <w:autoSpaceDN/>
        <w:bidi w:val="0"/>
        <w:adjustRightInd/>
        <w:snapToGrid/>
        <w:spacing w:line="360" w:lineRule="auto"/>
        <w:ind w:right="567"/>
        <w:textAlignment w:val="auto"/>
        <w:rPr>
          <w:rFonts w:hint="eastAsia" w:ascii="宋体" w:hAnsi="宋体" w:eastAsia="宋体" w:cs="宋体"/>
          <w:color w:val="auto"/>
          <w:highlight w:val="none"/>
        </w:rPr>
      </w:pPr>
      <w:r>
        <w:rPr>
          <w:rFonts w:hint="eastAsia" w:ascii="宋体" w:hAnsi="宋体" w:eastAsia="宋体" w:cs="宋体"/>
          <w:color w:val="auto"/>
          <w:highlight w:val="none"/>
        </w:rPr>
        <w:t>供应商名称: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（盖章）</w:t>
      </w:r>
    </w:p>
    <w:p w14:paraId="3BD66C9D">
      <w:pPr>
        <w:pageBreakBefore w:val="0"/>
        <w:widowControl/>
        <w:kinsoku/>
        <w:wordWrap/>
        <w:overflowPunct/>
        <w:topLinePunct w:val="0"/>
        <w:autoSpaceDE/>
        <w:autoSpaceDN/>
        <w:bidi w:val="0"/>
        <w:adjustRightInd/>
        <w:snapToGrid/>
        <w:spacing w:line="360" w:lineRule="auto"/>
        <w:ind w:right="567"/>
        <w:textAlignment w:val="auto"/>
        <w:rPr>
          <w:rFonts w:hint="eastAsia" w:ascii="宋体" w:hAnsi="宋体" w:eastAsia="宋体" w:cs="宋体"/>
          <w:color w:val="auto"/>
          <w:highlight w:val="none"/>
        </w:rPr>
      </w:pPr>
      <w:r>
        <w:rPr>
          <w:rFonts w:hint="eastAsia" w:ascii="宋体" w:hAnsi="宋体" w:eastAsia="宋体" w:cs="宋体"/>
          <w:color w:val="auto"/>
          <w:highlight w:val="none"/>
        </w:rPr>
        <w:t>日       期：   年  月  日</w:t>
      </w:r>
    </w:p>
    <w:p w14:paraId="2EB3E17D">
      <w:pPr>
        <w:pageBreakBefore w:val="0"/>
        <w:widowControl/>
        <w:kinsoku/>
        <w:wordWrap/>
        <w:overflowPunct/>
        <w:topLinePunct w:val="0"/>
        <w:autoSpaceDE/>
        <w:autoSpaceDN/>
        <w:bidi w:val="0"/>
        <w:adjustRightInd/>
        <w:snapToGrid/>
        <w:spacing w:line="360" w:lineRule="auto"/>
        <w:ind w:right="567"/>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四、资格证明文件</w:t>
      </w:r>
    </w:p>
    <w:p w14:paraId="6ACE2202">
      <w:pPr>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4.1 《中华人民共和国政府采购法》规定的条件:</w:t>
      </w:r>
    </w:p>
    <w:p w14:paraId="62BBC4B2">
      <w:pPr>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（1）具有独立承担民事责任的能力（提供有效的营业执照）；</w:t>
      </w:r>
    </w:p>
    <w:p w14:paraId="19134179">
      <w:pPr>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（2）具有良好的商业信誉和健全的财务会计制度（提供南京市政府采购供应商信用记录表暨信用承诺书）；</w:t>
      </w:r>
    </w:p>
    <w:p w14:paraId="0B796AAE">
      <w:pPr>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（3）具有履行合同所必需的设备和专业技术能力（提供南京市政府采购供应商信用记录表暨信用承诺书）；</w:t>
      </w:r>
    </w:p>
    <w:p w14:paraId="3F985450">
      <w:pPr>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（4）有依法缴纳税收和社会保障资金的良好记录（提供南京市政府采购供应商信用记录表暨信用承诺书）；</w:t>
      </w:r>
    </w:p>
    <w:p w14:paraId="03A004F9">
      <w:pPr>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（5）参加政府采购活动前三年内，在经营活动中没有重大违法记录（提供南京市政府采购供应商信用记录表暨信用承诺书）；</w:t>
      </w:r>
    </w:p>
    <w:p w14:paraId="5302600A">
      <w:pPr>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（6）法律、行政法规和采购文件规定的其他条件（提供南京市政府采购供应商信用记录表暨信用承诺书)。</w:t>
      </w:r>
    </w:p>
    <w:p w14:paraId="07E5AED0">
      <w:pPr>
        <w:pageBreakBefore w:val="0"/>
        <w:kinsoku/>
        <w:wordWrap/>
        <w:overflowPunct/>
        <w:topLinePunct w:val="0"/>
        <w:autoSpaceDE/>
        <w:autoSpaceDN/>
        <w:bidi w:val="0"/>
        <w:adjustRightInd/>
        <w:snapToGrid/>
        <w:spacing w:line="360" w:lineRule="auto"/>
        <w:ind w:firstLine="63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（7）采购人根据采购项目的特殊要求规定的特定条件：无</w:t>
      </w:r>
    </w:p>
    <w:p w14:paraId="3CF5D3A6">
      <w:pPr>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Cs w:val="21"/>
          <w:highlight w:val="none"/>
        </w:rPr>
      </w:pPr>
    </w:p>
    <w:p w14:paraId="231A32D2">
      <w:pPr>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Cs w:val="21"/>
          <w:highlight w:val="none"/>
          <w:lang w:val="zh-CN"/>
        </w:rPr>
      </w:pPr>
    </w:p>
    <w:p w14:paraId="23CECE63">
      <w:pPr>
        <w:pageBreakBefore w:val="0"/>
        <w:kinsoku/>
        <w:wordWrap/>
        <w:overflowPunct/>
        <w:topLinePunct w:val="0"/>
        <w:autoSpaceDE/>
        <w:autoSpaceDN/>
        <w:bidi w:val="0"/>
        <w:adjustRightInd/>
        <w:snapToGrid/>
        <w:spacing w:line="360" w:lineRule="auto"/>
        <w:ind w:left="855"/>
        <w:jc w:val="center"/>
        <w:textAlignment w:val="auto"/>
        <w:rPr>
          <w:rFonts w:hint="eastAsia" w:ascii="宋体" w:hAnsi="宋体" w:eastAsia="宋体" w:cs="宋体"/>
          <w:color w:val="auto"/>
          <w:highlight w:val="none"/>
        </w:rPr>
      </w:pPr>
    </w:p>
    <w:p w14:paraId="267E4EE0">
      <w:pPr>
        <w:pageBreakBefore w:val="0"/>
        <w:kinsoku/>
        <w:wordWrap/>
        <w:overflowPunct/>
        <w:topLinePunct w:val="0"/>
        <w:autoSpaceDE/>
        <w:autoSpaceDN/>
        <w:bidi w:val="0"/>
        <w:adjustRightInd/>
        <w:snapToGrid/>
        <w:spacing w:line="360" w:lineRule="auto"/>
        <w:ind w:left="855"/>
        <w:jc w:val="center"/>
        <w:textAlignment w:val="auto"/>
        <w:rPr>
          <w:rFonts w:hint="eastAsia" w:ascii="宋体" w:hAnsi="宋体" w:eastAsia="宋体" w:cs="宋体"/>
          <w:color w:val="auto"/>
          <w:highlight w:val="none"/>
        </w:rPr>
      </w:pPr>
    </w:p>
    <w:p w14:paraId="7768EE00">
      <w:pPr>
        <w:pageBreakBefore w:val="0"/>
        <w:kinsoku/>
        <w:wordWrap/>
        <w:overflowPunct/>
        <w:topLinePunct w:val="0"/>
        <w:autoSpaceDE/>
        <w:autoSpaceDN/>
        <w:bidi w:val="0"/>
        <w:adjustRightInd/>
        <w:snapToGrid/>
        <w:spacing w:line="360" w:lineRule="auto"/>
        <w:ind w:left="855"/>
        <w:jc w:val="center"/>
        <w:textAlignment w:val="auto"/>
        <w:rPr>
          <w:rFonts w:hint="eastAsia" w:ascii="宋体" w:hAnsi="宋体" w:eastAsia="宋体" w:cs="宋体"/>
          <w:color w:val="auto"/>
          <w:highlight w:val="none"/>
        </w:rPr>
      </w:pPr>
    </w:p>
    <w:p w14:paraId="7B49466F">
      <w:pPr>
        <w:pageBreakBefore w:val="0"/>
        <w:kinsoku/>
        <w:wordWrap/>
        <w:overflowPunct/>
        <w:topLinePunct w:val="0"/>
        <w:autoSpaceDE/>
        <w:autoSpaceDN/>
        <w:bidi w:val="0"/>
        <w:adjustRightInd/>
        <w:snapToGrid/>
        <w:spacing w:line="360" w:lineRule="auto"/>
        <w:ind w:left="855"/>
        <w:jc w:val="center"/>
        <w:textAlignment w:val="auto"/>
        <w:rPr>
          <w:rFonts w:hint="eastAsia" w:ascii="宋体" w:hAnsi="宋体" w:eastAsia="宋体" w:cs="宋体"/>
          <w:color w:val="auto"/>
          <w:highlight w:val="none"/>
        </w:rPr>
      </w:pPr>
    </w:p>
    <w:p w14:paraId="5B35718D">
      <w:pPr>
        <w:pageBreakBefore w:val="0"/>
        <w:kinsoku/>
        <w:wordWrap/>
        <w:overflowPunct/>
        <w:topLinePunct w:val="0"/>
        <w:autoSpaceDE/>
        <w:autoSpaceDN/>
        <w:bidi w:val="0"/>
        <w:adjustRightInd/>
        <w:snapToGrid/>
        <w:spacing w:line="360" w:lineRule="auto"/>
        <w:ind w:left="855"/>
        <w:jc w:val="center"/>
        <w:textAlignment w:val="auto"/>
        <w:rPr>
          <w:rFonts w:hint="eastAsia" w:ascii="宋体" w:hAnsi="宋体" w:eastAsia="宋体" w:cs="宋体"/>
          <w:color w:val="auto"/>
          <w:highlight w:val="none"/>
        </w:rPr>
      </w:pPr>
    </w:p>
    <w:p w14:paraId="57DA30C3">
      <w:pPr>
        <w:pageBreakBefore w:val="0"/>
        <w:kinsoku/>
        <w:wordWrap/>
        <w:overflowPunct/>
        <w:topLinePunct w:val="0"/>
        <w:autoSpaceDE/>
        <w:autoSpaceDN/>
        <w:bidi w:val="0"/>
        <w:adjustRightInd/>
        <w:snapToGrid/>
        <w:spacing w:line="360" w:lineRule="auto"/>
        <w:ind w:left="855"/>
        <w:jc w:val="center"/>
        <w:textAlignment w:val="auto"/>
        <w:rPr>
          <w:rFonts w:hint="eastAsia" w:ascii="宋体" w:hAnsi="宋体" w:eastAsia="宋体" w:cs="宋体"/>
          <w:color w:val="auto"/>
          <w:highlight w:val="none"/>
        </w:rPr>
      </w:pPr>
    </w:p>
    <w:p w14:paraId="2CB12418">
      <w:pPr>
        <w:pStyle w:val="224"/>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rPr>
      </w:pPr>
    </w:p>
    <w:p w14:paraId="24DBC78A">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rPr>
      </w:pPr>
    </w:p>
    <w:p w14:paraId="506DFA9A">
      <w:pPr>
        <w:pStyle w:val="224"/>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rPr>
      </w:pPr>
    </w:p>
    <w:p w14:paraId="0C2F6EA4">
      <w:pPr>
        <w:pageBreakBefore w:val="0"/>
        <w:kinsoku/>
        <w:wordWrap/>
        <w:overflowPunct/>
        <w:topLinePunct w:val="0"/>
        <w:autoSpaceDE/>
        <w:autoSpaceDN/>
        <w:bidi w:val="0"/>
        <w:adjustRightInd/>
        <w:snapToGrid/>
        <w:spacing w:line="360" w:lineRule="auto"/>
        <w:ind w:left="855"/>
        <w:jc w:val="center"/>
        <w:textAlignment w:val="auto"/>
        <w:rPr>
          <w:rFonts w:hint="eastAsia" w:ascii="宋体" w:hAnsi="宋体" w:eastAsia="宋体" w:cs="宋体"/>
          <w:color w:val="auto"/>
          <w:highlight w:val="none"/>
        </w:rPr>
      </w:pPr>
    </w:p>
    <w:p w14:paraId="03193F1F">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pacing w:val="-21"/>
          <w:sz w:val="32"/>
          <w:szCs w:val="32"/>
          <w:highlight w:val="none"/>
        </w:rPr>
      </w:pPr>
      <w:bookmarkStart w:id="8" w:name="_Hlk164500889"/>
      <w:r>
        <w:rPr>
          <w:rFonts w:hint="eastAsia" w:ascii="宋体" w:hAnsi="宋体" w:eastAsia="宋体" w:cs="宋体"/>
          <w:b/>
          <w:bCs/>
          <w:color w:val="auto"/>
          <w:spacing w:val="-21"/>
          <w:sz w:val="32"/>
          <w:szCs w:val="32"/>
          <w:highlight w:val="none"/>
        </w:rPr>
        <w:t>南京市政府采购供应商信用记录表暨信用承诺书</w:t>
      </w:r>
    </w:p>
    <w:p w14:paraId="076CC970">
      <w:pPr>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pacing w:val="-21"/>
          <w:sz w:val="24"/>
          <w:highlight w:val="none"/>
        </w:rPr>
      </w:pPr>
      <w:r>
        <w:rPr>
          <w:rFonts w:hint="eastAsia" w:ascii="宋体" w:hAnsi="宋体" w:eastAsia="宋体" w:cs="宋体"/>
          <w:color w:val="auto"/>
          <w:spacing w:val="-21"/>
          <w:sz w:val="24"/>
          <w:highlight w:val="none"/>
        </w:rPr>
        <w:t xml:space="preserve"> </w:t>
      </w:r>
      <w:r>
        <w:rPr>
          <w:rFonts w:hint="eastAsia" w:ascii="宋体" w:hAnsi="宋体" w:eastAsia="宋体" w:cs="宋体"/>
          <w:color w:val="auto"/>
          <w:sz w:val="24"/>
          <w:highlight w:val="none"/>
        </w:rPr>
        <w:t>（根据《南京市政府采购供应商诚信档案管理系统》在线打印）</w:t>
      </w:r>
      <w:r>
        <w:rPr>
          <w:rFonts w:hint="eastAsia" w:ascii="宋体" w:hAnsi="宋体" w:eastAsia="宋体" w:cs="宋体"/>
          <w:color w:val="auto"/>
          <w:spacing w:val="-21"/>
          <w:sz w:val="24"/>
          <w:highlight w:val="none"/>
        </w:rPr>
        <w:t xml:space="preserve">                                    年    月    日</w:t>
      </w:r>
    </w:p>
    <w:tbl>
      <w:tblPr>
        <w:tblStyle w:val="29"/>
        <w:tblW w:w="97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269"/>
        <w:gridCol w:w="3260"/>
        <w:gridCol w:w="2463"/>
        <w:gridCol w:w="1796"/>
      </w:tblGrid>
      <w:tr w14:paraId="11562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269" w:type="dxa"/>
            <w:noWrap w:val="0"/>
            <w:vAlign w:val="center"/>
          </w:tcPr>
          <w:p w14:paraId="570F8F65">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单位名称</w:t>
            </w:r>
          </w:p>
        </w:tc>
        <w:tc>
          <w:tcPr>
            <w:tcW w:w="3260" w:type="dxa"/>
            <w:noWrap w:val="0"/>
            <w:vAlign w:val="center"/>
          </w:tcPr>
          <w:p w14:paraId="4B56D6FC">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p>
        </w:tc>
        <w:tc>
          <w:tcPr>
            <w:tcW w:w="2463" w:type="dxa"/>
            <w:noWrap w:val="0"/>
            <w:vAlign w:val="center"/>
          </w:tcPr>
          <w:p w14:paraId="2508E972">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统一社会信用代码</w:t>
            </w:r>
          </w:p>
        </w:tc>
        <w:tc>
          <w:tcPr>
            <w:tcW w:w="1796" w:type="dxa"/>
            <w:noWrap w:val="0"/>
            <w:vAlign w:val="center"/>
          </w:tcPr>
          <w:p w14:paraId="7DDB4B2E">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p>
        </w:tc>
      </w:tr>
      <w:tr w14:paraId="036970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269" w:type="dxa"/>
            <w:noWrap w:val="0"/>
            <w:vAlign w:val="center"/>
          </w:tcPr>
          <w:p w14:paraId="5F2AE7BC">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p>
        </w:tc>
        <w:tc>
          <w:tcPr>
            <w:tcW w:w="3260" w:type="dxa"/>
            <w:noWrap w:val="0"/>
            <w:vAlign w:val="center"/>
          </w:tcPr>
          <w:p w14:paraId="0623AF81">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p>
        </w:tc>
        <w:tc>
          <w:tcPr>
            <w:tcW w:w="2463" w:type="dxa"/>
            <w:noWrap w:val="0"/>
            <w:vAlign w:val="center"/>
          </w:tcPr>
          <w:p w14:paraId="718DD820">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联系人</w:t>
            </w:r>
          </w:p>
        </w:tc>
        <w:tc>
          <w:tcPr>
            <w:tcW w:w="1796" w:type="dxa"/>
            <w:noWrap w:val="0"/>
            <w:vAlign w:val="center"/>
          </w:tcPr>
          <w:p w14:paraId="309B0C5A">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p>
        </w:tc>
      </w:tr>
      <w:tr w14:paraId="532E4E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269" w:type="dxa"/>
            <w:noWrap w:val="0"/>
            <w:vAlign w:val="center"/>
          </w:tcPr>
          <w:p w14:paraId="442BBAE7">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联系地址</w:t>
            </w:r>
          </w:p>
        </w:tc>
        <w:tc>
          <w:tcPr>
            <w:tcW w:w="3260" w:type="dxa"/>
            <w:noWrap w:val="0"/>
            <w:vAlign w:val="center"/>
          </w:tcPr>
          <w:p w14:paraId="00014678">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p>
        </w:tc>
        <w:tc>
          <w:tcPr>
            <w:tcW w:w="2463" w:type="dxa"/>
            <w:noWrap w:val="0"/>
            <w:vAlign w:val="center"/>
          </w:tcPr>
          <w:p w14:paraId="36E6D03D">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p>
        </w:tc>
        <w:tc>
          <w:tcPr>
            <w:tcW w:w="1796" w:type="dxa"/>
            <w:noWrap w:val="0"/>
            <w:vAlign w:val="center"/>
          </w:tcPr>
          <w:p w14:paraId="35A01388">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p>
        </w:tc>
      </w:tr>
      <w:tr w14:paraId="1B93BD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2" w:hRule="atLeast"/>
          <w:jc w:val="center"/>
        </w:trPr>
        <w:tc>
          <w:tcPr>
            <w:tcW w:w="2269" w:type="dxa"/>
            <w:noWrap w:val="0"/>
            <w:vAlign w:val="center"/>
          </w:tcPr>
          <w:p w14:paraId="77FAE358">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诚信档案记录情况</w:t>
            </w:r>
          </w:p>
        </w:tc>
        <w:tc>
          <w:tcPr>
            <w:tcW w:w="7519" w:type="dxa"/>
            <w:gridSpan w:val="3"/>
            <w:noWrap w:val="0"/>
            <w:vAlign w:val="top"/>
          </w:tcPr>
          <w:p w14:paraId="1B54F00A">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p>
        </w:tc>
      </w:tr>
      <w:tr w14:paraId="630ECE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00" w:hRule="atLeast"/>
          <w:jc w:val="center"/>
        </w:trPr>
        <w:tc>
          <w:tcPr>
            <w:tcW w:w="2269" w:type="dxa"/>
            <w:noWrap w:val="0"/>
            <w:vAlign w:val="center"/>
          </w:tcPr>
          <w:p w14:paraId="433FCB28">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信用承诺</w:t>
            </w:r>
          </w:p>
        </w:tc>
        <w:tc>
          <w:tcPr>
            <w:tcW w:w="7519" w:type="dxa"/>
            <w:gridSpan w:val="3"/>
            <w:noWrap w:val="0"/>
            <w:vAlign w:val="top"/>
          </w:tcPr>
          <w:p w14:paraId="3D06B22C">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我公司自愿参加贵中心（公司）组织的本次采购活动，严格遵守 《中华人民政府采购法》及相关法律法规，坚守公开、公平、公正和诚实信用的原则，依法诚信经营，无条件遵守本次政府采购活动的各项规定。我们郑重承诺，本公司符合《政府采购法》 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70566F4D">
            <w:pPr>
              <w:pageBreakBefore w:val="0"/>
              <w:kinsoku/>
              <w:wordWrap/>
              <w:overflowPunct/>
              <w:topLinePunct w:val="0"/>
              <w:autoSpaceDE/>
              <w:autoSpaceDN/>
              <w:bidi w:val="0"/>
              <w:adjustRightInd/>
              <w:snapToGrid/>
              <w:spacing w:line="360" w:lineRule="auto"/>
              <w:ind w:firstLine="40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供应商名称（盖章）： </w:t>
            </w:r>
          </w:p>
          <w:p w14:paraId="3AB9A398">
            <w:pPr>
              <w:pageBreakBefore w:val="0"/>
              <w:kinsoku/>
              <w:wordWrap/>
              <w:overflowPunct/>
              <w:topLinePunct w:val="0"/>
              <w:autoSpaceDE/>
              <w:autoSpaceDN/>
              <w:bidi w:val="0"/>
              <w:adjustRightInd/>
              <w:snapToGrid/>
              <w:spacing w:line="360" w:lineRule="auto"/>
              <w:ind w:firstLine="40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 </w:t>
            </w:r>
          </w:p>
          <w:p w14:paraId="0DBAEEE7">
            <w:pPr>
              <w:pageBreakBefore w:val="0"/>
              <w:kinsoku/>
              <w:wordWrap/>
              <w:overflowPunct/>
              <w:topLinePunct w:val="0"/>
              <w:autoSpaceDE/>
              <w:autoSpaceDN/>
              <w:bidi w:val="0"/>
              <w:adjustRightInd/>
              <w:snapToGrid/>
              <w:spacing w:line="360" w:lineRule="auto"/>
              <w:ind w:firstLine="504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p>
        </w:tc>
      </w:tr>
      <w:bookmarkEnd w:id="8"/>
    </w:tbl>
    <w:p w14:paraId="50B0B75E">
      <w:pPr>
        <w:pStyle w:val="275"/>
        <w:pageBreakBefore w:val="0"/>
        <w:kinsoku/>
        <w:wordWrap/>
        <w:overflowPunct/>
        <w:topLinePunct w:val="0"/>
        <w:autoSpaceDE/>
        <w:autoSpaceDN/>
        <w:bidi w:val="0"/>
        <w:adjustRightInd/>
        <w:snapToGrid/>
        <w:spacing w:line="360" w:lineRule="auto"/>
        <w:ind w:firstLine="400"/>
        <w:textAlignment w:val="auto"/>
        <w:rPr>
          <w:rFonts w:hint="eastAsia" w:ascii="宋体" w:hAnsi="宋体" w:eastAsia="宋体" w:cs="宋体"/>
          <w:color w:val="auto"/>
          <w:highlight w:val="none"/>
        </w:rPr>
      </w:pPr>
    </w:p>
    <w:p w14:paraId="6FA8A937">
      <w:pPr>
        <w:pStyle w:val="275"/>
        <w:pageBreakBefore w:val="0"/>
        <w:kinsoku/>
        <w:wordWrap/>
        <w:overflowPunct/>
        <w:topLinePunct w:val="0"/>
        <w:autoSpaceDE/>
        <w:autoSpaceDN/>
        <w:bidi w:val="0"/>
        <w:adjustRightInd/>
        <w:snapToGrid/>
        <w:spacing w:line="360" w:lineRule="auto"/>
        <w:ind w:firstLine="400"/>
        <w:textAlignment w:val="auto"/>
        <w:rPr>
          <w:rFonts w:hint="eastAsia" w:ascii="宋体" w:hAnsi="宋体" w:eastAsia="宋体" w:cs="宋体"/>
          <w:color w:val="auto"/>
          <w:highlight w:val="none"/>
        </w:rPr>
      </w:pPr>
    </w:p>
    <w:p w14:paraId="3A35F674">
      <w:pPr>
        <w:pageBreakBefore w:val="0"/>
        <w:kinsoku/>
        <w:wordWrap/>
        <w:overflowPunct/>
        <w:topLinePunct w:val="0"/>
        <w:autoSpaceDE/>
        <w:autoSpaceDN/>
        <w:bidi w:val="0"/>
        <w:adjustRightInd/>
        <w:snapToGrid/>
        <w:spacing w:before="59" w:line="360" w:lineRule="auto"/>
        <w:ind w:right="550" w:firstLine="3935"/>
        <w:textAlignment w:val="auto"/>
        <w:rPr>
          <w:rFonts w:hint="eastAsia" w:ascii="宋体" w:hAnsi="宋体" w:eastAsia="宋体" w:cs="宋体"/>
          <w:b/>
          <w:bCs/>
          <w:color w:val="auto"/>
          <w:sz w:val="28"/>
          <w:szCs w:val="28"/>
          <w:highlight w:val="none"/>
        </w:rPr>
      </w:pPr>
    </w:p>
    <w:p w14:paraId="32A52F94">
      <w:pPr>
        <w:pageBreakBefore w:val="0"/>
        <w:kinsoku/>
        <w:wordWrap/>
        <w:overflowPunct/>
        <w:topLinePunct w:val="0"/>
        <w:autoSpaceDE/>
        <w:autoSpaceDN/>
        <w:bidi w:val="0"/>
        <w:adjustRightInd/>
        <w:snapToGrid/>
        <w:spacing w:before="59" w:line="360" w:lineRule="auto"/>
        <w:ind w:right="550" w:firstLine="3935"/>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供应商资格承诺函</w:t>
      </w:r>
    </w:p>
    <w:p w14:paraId="541CEB22">
      <w:pPr>
        <w:pageBreakBefore w:val="0"/>
        <w:kinsoku/>
        <w:wordWrap/>
        <w:overflowPunct/>
        <w:topLinePunct w:val="0"/>
        <w:autoSpaceDE/>
        <w:autoSpaceDN/>
        <w:bidi w:val="0"/>
        <w:adjustRightInd/>
        <w:snapToGrid/>
        <w:spacing w:before="59" w:line="360" w:lineRule="auto"/>
        <w:ind w:right="550"/>
        <w:textAlignment w:val="auto"/>
        <w:rPr>
          <w:rFonts w:hint="eastAsia" w:ascii="宋体" w:hAnsi="宋体" w:eastAsia="宋体" w:cs="宋体"/>
          <w:b/>
          <w:bCs/>
          <w:color w:val="auto"/>
          <w:sz w:val="28"/>
          <w:szCs w:val="28"/>
          <w:highlight w:val="none"/>
          <w:u w:val="single"/>
        </w:rPr>
      </w:pPr>
      <w:r>
        <w:rPr>
          <w:rFonts w:hint="eastAsia" w:ascii="宋体" w:hAnsi="宋体" w:eastAsia="宋体" w:cs="宋体"/>
          <w:b/>
          <w:bCs/>
          <w:color w:val="auto"/>
          <w:sz w:val="28"/>
          <w:szCs w:val="28"/>
          <w:highlight w:val="none"/>
          <w:u w:val="single"/>
        </w:rPr>
        <w:t>：</w:t>
      </w:r>
    </w:p>
    <w:p w14:paraId="3781F0FC">
      <w:pPr>
        <w:keepNext w:val="0"/>
        <w:keepLines w:val="0"/>
        <w:pageBreakBefore w:val="0"/>
        <w:widowControl w:val="0"/>
        <w:kinsoku/>
        <w:wordWrap/>
        <w:overflowPunct/>
        <w:topLinePunct w:val="0"/>
        <w:autoSpaceDE/>
        <w:autoSpaceDN/>
        <w:bidi w:val="0"/>
        <w:adjustRightInd/>
        <w:snapToGrid/>
        <w:spacing w:before="59" w:line="360" w:lineRule="auto"/>
        <w:ind w:right="550" w:firstLine="72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我公司</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（供应商名称）郑重承诺：</w:t>
      </w:r>
    </w:p>
    <w:p w14:paraId="6456DCD4">
      <w:pPr>
        <w:pStyle w:val="205"/>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p>
    <w:p w14:paraId="688FE8BE">
      <w:pPr>
        <w:pStyle w:val="205"/>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我公司符合下列要求：</w:t>
      </w:r>
    </w:p>
    <w:p w14:paraId="73476C1D">
      <w:pPr>
        <w:pStyle w:val="205"/>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（1）具有独立承担民事责任的能力； </w:t>
      </w:r>
    </w:p>
    <w:p w14:paraId="3E6D85F4">
      <w:pPr>
        <w:pStyle w:val="205"/>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（2）具有良好的商业信誉和健全的财务会计制度； </w:t>
      </w:r>
    </w:p>
    <w:p w14:paraId="173E0900">
      <w:pPr>
        <w:pStyle w:val="205"/>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（3）有依法缴纳税收和社会保障资金的良好记录；</w:t>
      </w:r>
    </w:p>
    <w:p w14:paraId="2EDC8353">
      <w:pPr>
        <w:pStyle w:val="205"/>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（4）具有履行合同所必需的设备和专业技术能力； </w:t>
      </w:r>
    </w:p>
    <w:p w14:paraId="3C9F3DFB">
      <w:pPr>
        <w:pStyle w:val="205"/>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（5）参加政府采购活动前三年内，在经营活动中没有重大违法记录；</w:t>
      </w:r>
    </w:p>
    <w:p w14:paraId="5B9C8BBD">
      <w:pPr>
        <w:pStyle w:val="205"/>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（6）法律、行政法规规定的其他条件。</w:t>
      </w:r>
    </w:p>
    <w:p w14:paraId="74CC2209">
      <w:pPr>
        <w:pStyle w:val="205"/>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如果我公司中标（成交），将在结果公告发布后7个工作日内向采购人提供下列材料核验；</w:t>
      </w:r>
    </w:p>
    <w:p w14:paraId="7605B329">
      <w:pPr>
        <w:pStyle w:val="205"/>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（1）具有独立承担民事责任的能力（提供法人或者其他组织的营业执照；供应商为自然人的提供其身份证）；</w:t>
      </w:r>
    </w:p>
    <w:p w14:paraId="693000BD">
      <w:pPr>
        <w:pStyle w:val="205"/>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（2）具有良好的商业信誉和健全的财务会计制度（提供参加本次采购活动前的会计报表，企业成立不满一个月的无需提供）；</w:t>
      </w:r>
    </w:p>
    <w:p w14:paraId="20F7048B">
      <w:pPr>
        <w:pStyle w:val="205"/>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（3）具有履行合同所必需的设备和专业技术能力；（根据项目需求提供履行合同所必需的设备和专业技术能力的声明或证明材料）； </w:t>
      </w:r>
    </w:p>
    <w:p w14:paraId="041CB116">
      <w:pPr>
        <w:pStyle w:val="205"/>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（4）依法缴纳税收和社会保障资金的相关材料（提供参加本次政府采购活动前一年内至少一个月缴纳增值税，或营业税，或企业所得税的凭据，及缴纳社会保险的凭据（专用收据，或社会保险缴纳清单））；</w:t>
      </w:r>
    </w:p>
    <w:p w14:paraId="1BF82053">
      <w:pPr>
        <w:pStyle w:val="205"/>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（5）参加政府采购活动前三年内，在经营活动中没有重大违法记录（提供参加本次政府采购活动前3年内在经营活动中没有重大违法记录的书面声明）；</w:t>
      </w:r>
    </w:p>
    <w:p w14:paraId="38A1EE00">
      <w:pPr>
        <w:pStyle w:val="205"/>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（6）法律、行政法规规定的其他条件（提供项目实施所必须的许可资质证明材料）</w:t>
      </w:r>
    </w:p>
    <w:p w14:paraId="3B526353">
      <w:pPr>
        <w:pStyle w:val="205"/>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本公司对上述承诺的真实性负责，如有虚假，将依法承担相应责任。</w:t>
      </w:r>
    </w:p>
    <w:p w14:paraId="40231A0C">
      <w:pPr>
        <w:pStyle w:val="205"/>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供应商名称（盖章） </w:t>
      </w:r>
    </w:p>
    <w:p w14:paraId="1F075659">
      <w:pPr>
        <w:pStyle w:val="205"/>
        <w:keepNext w:val="0"/>
        <w:keepLines w:val="0"/>
        <w:pageBreakBefore w:val="0"/>
        <w:widowControl w:val="0"/>
        <w:kinsoku/>
        <w:wordWrap/>
        <w:overflowPunct/>
        <w:topLinePunct w:val="0"/>
        <w:autoSpaceDE/>
        <w:autoSpaceDN/>
        <w:bidi w:val="0"/>
        <w:adjustRightInd/>
        <w:snapToGrid/>
        <w:spacing w:line="360" w:lineRule="auto"/>
        <w:ind w:firstLine="4552" w:firstLineChars="1626"/>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     期：   年   月   日</w:t>
      </w:r>
    </w:p>
    <w:p w14:paraId="0F915F76">
      <w:pPr>
        <w:pStyle w:val="205"/>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p>
    <w:p w14:paraId="0A5094EA">
      <w:pPr>
        <w:pStyle w:val="205"/>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注：供应商在中标（成交）后，应按采购文件要求，将上述由信用承诺书替代的证明材料提交采购人或采购代理机构核验。经核验无误后，由采购人或采购代理机构发出中标（成交）通知书。</w:t>
      </w:r>
    </w:p>
    <w:p w14:paraId="062080D7">
      <w:pPr>
        <w:pStyle w:val="205"/>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sectPr>
          <w:footerReference r:id="rId6" w:type="default"/>
          <w:pgSz w:w="11906" w:h="16838"/>
          <w:pgMar w:top="2098" w:right="1474" w:bottom="1984" w:left="1587" w:header="851" w:footer="992" w:gutter="0"/>
          <w:cols w:space="1701" w:num="1"/>
          <w:docGrid w:linePitch="360" w:charSpace="0"/>
        </w:sectPr>
      </w:pPr>
    </w:p>
    <w:p w14:paraId="3DD8BD20">
      <w:pPr>
        <w:pageBreakBefore w:val="0"/>
        <w:widowControl/>
        <w:kinsoku/>
        <w:wordWrap/>
        <w:overflowPunct/>
        <w:topLinePunct w:val="0"/>
        <w:autoSpaceDE/>
        <w:autoSpaceDN/>
        <w:bidi w:val="0"/>
        <w:adjustRightInd/>
        <w:snapToGrid/>
        <w:spacing w:line="360" w:lineRule="auto"/>
        <w:ind w:right="567"/>
        <w:textAlignment w:val="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六、条款偏离表格式</w:t>
      </w:r>
    </w:p>
    <w:p w14:paraId="39BBC999">
      <w:pPr>
        <w:pageBreakBefore w:val="0"/>
        <w:widowControl/>
        <w:kinsoku/>
        <w:wordWrap/>
        <w:overflowPunct/>
        <w:topLinePunct w:val="0"/>
        <w:autoSpaceDE/>
        <w:autoSpaceDN/>
        <w:bidi w:val="0"/>
        <w:adjustRightInd/>
        <w:snapToGrid/>
        <w:spacing w:line="360" w:lineRule="auto"/>
        <w:ind w:left="210" w:right="567" w:firstLine="720"/>
        <w:jc w:val="center"/>
        <w:textAlignment w:val="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商务条款偏离表</w:t>
      </w:r>
    </w:p>
    <w:tbl>
      <w:tblPr>
        <w:tblStyle w:val="29"/>
        <w:tblW w:w="92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1"/>
        <w:gridCol w:w="1620"/>
        <w:gridCol w:w="2700"/>
        <w:gridCol w:w="1415"/>
        <w:gridCol w:w="1458"/>
        <w:gridCol w:w="1372"/>
      </w:tblGrid>
      <w:tr w14:paraId="7EFB10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tblHeader/>
          <w:jc w:val="center"/>
        </w:trPr>
        <w:tc>
          <w:tcPr>
            <w:tcW w:w="6386" w:type="dxa"/>
            <w:gridSpan w:val="4"/>
            <w:noWrap w:val="0"/>
            <w:vAlign w:val="center"/>
          </w:tcPr>
          <w:p w14:paraId="2A20EA0A">
            <w:pPr>
              <w:pageBreakBefore w:val="0"/>
              <w:widowControl/>
              <w:kinsoku/>
              <w:wordWrap/>
              <w:overflowPunct/>
              <w:topLinePunct w:val="0"/>
              <w:autoSpaceDE/>
              <w:autoSpaceDN/>
              <w:bidi w:val="0"/>
              <w:adjustRightInd/>
              <w:snapToGrid/>
              <w:spacing w:line="360" w:lineRule="auto"/>
              <w:ind w:left="210" w:right="567"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项目名称：</w:t>
            </w:r>
          </w:p>
        </w:tc>
        <w:tc>
          <w:tcPr>
            <w:tcW w:w="2830" w:type="dxa"/>
            <w:gridSpan w:val="2"/>
            <w:noWrap w:val="0"/>
            <w:vAlign w:val="center"/>
          </w:tcPr>
          <w:p w14:paraId="6C3CF6C6">
            <w:pPr>
              <w:pageBreakBefore w:val="0"/>
              <w:widowControl/>
              <w:kinsoku/>
              <w:wordWrap/>
              <w:overflowPunct/>
              <w:topLinePunct w:val="0"/>
              <w:autoSpaceDE/>
              <w:autoSpaceDN/>
              <w:bidi w:val="0"/>
              <w:adjustRightInd/>
              <w:snapToGrid/>
              <w:spacing w:line="360" w:lineRule="auto"/>
              <w:ind w:left="210" w:right="567"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项目编号：</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u w:val="none"/>
              </w:rPr>
              <w:t xml:space="preserve">    </w:t>
            </w:r>
            <w:r>
              <w:rPr>
                <w:rFonts w:hint="eastAsia" w:ascii="宋体" w:hAnsi="宋体" w:eastAsia="宋体" w:cs="宋体"/>
                <w:b/>
                <w:color w:val="auto"/>
                <w:szCs w:val="21"/>
                <w:highlight w:val="none"/>
                <w:u w:val="none"/>
              </w:rPr>
              <w:t xml:space="preserve"> </w:t>
            </w:r>
          </w:p>
        </w:tc>
      </w:tr>
      <w:tr w14:paraId="1D25D2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0" w:hRule="atLeast"/>
          <w:jc w:val="center"/>
        </w:trPr>
        <w:tc>
          <w:tcPr>
            <w:tcW w:w="651" w:type="dxa"/>
            <w:noWrap w:val="0"/>
            <w:vAlign w:val="center"/>
          </w:tcPr>
          <w:p w14:paraId="56B72DC1">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t>序号</w:t>
            </w:r>
          </w:p>
        </w:tc>
        <w:tc>
          <w:tcPr>
            <w:tcW w:w="1620" w:type="dxa"/>
            <w:noWrap w:val="0"/>
            <w:vAlign w:val="center"/>
          </w:tcPr>
          <w:p w14:paraId="5566E08F">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0"/>
                <w:highlight w:val="none"/>
              </w:rPr>
            </w:pPr>
            <w:r>
              <w:rPr>
                <w:rFonts w:hint="eastAsia" w:ascii="宋体" w:hAnsi="宋体" w:eastAsia="宋体" w:cs="宋体"/>
                <w:color w:val="auto"/>
                <w:szCs w:val="20"/>
                <w:highlight w:val="none"/>
                <w:lang w:val="en-US" w:eastAsia="zh-CN"/>
              </w:rPr>
              <w:t>谈判</w:t>
            </w:r>
            <w:r>
              <w:rPr>
                <w:rFonts w:hint="eastAsia" w:ascii="宋体" w:hAnsi="宋体" w:eastAsia="宋体" w:cs="宋体"/>
                <w:color w:val="auto"/>
                <w:szCs w:val="20"/>
                <w:highlight w:val="none"/>
              </w:rPr>
              <w:t>文件条目号</w:t>
            </w:r>
          </w:p>
        </w:tc>
        <w:tc>
          <w:tcPr>
            <w:tcW w:w="2700" w:type="dxa"/>
            <w:noWrap w:val="0"/>
            <w:vAlign w:val="center"/>
          </w:tcPr>
          <w:p w14:paraId="4D7BD4F9">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0"/>
                <w:highlight w:val="none"/>
              </w:rPr>
            </w:pPr>
            <w:r>
              <w:rPr>
                <w:rFonts w:hint="eastAsia" w:ascii="宋体" w:hAnsi="宋体" w:eastAsia="宋体" w:cs="宋体"/>
                <w:color w:val="auto"/>
                <w:szCs w:val="20"/>
                <w:highlight w:val="none"/>
                <w:lang w:val="en-US" w:eastAsia="zh-CN"/>
              </w:rPr>
              <w:t>谈判</w:t>
            </w:r>
            <w:r>
              <w:rPr>
                <w:rFonts w:hint="eastAsia" w:ascii="宋体" w:hAnsi="宋体" w:eastAsia="宋体" w:cs="宋体"/>
                <w:color w:val="auto"/>
                <w:szCs w:val="20"/>
                <w:highlight w:val="none"/>
              </w:rPr>
              <w:t>文件的商务条款</w:t>
            </w:r>
          </w:p>
        </w:tc>
        <w:tc>
          <w:tcPr>
            <w:tcW w:w="2873" w:type="dxa"/>
            <w:gridSpan w:val="2"/>
            <w:noWrap w:val="0"/>
            <w:vAlign w:val="center"/>
          </w:tcPr>
          <w:p w14:paraId="12AF7AED">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t>供应商响应</w:t>
            </w:r>
          </w:p>
        </w:tc>
        <w:tc>
          <w:tcPr>
            <w:tcW w:w="1372" w:type="dxa"/>
            <w:noWrap w:val="0"/>
            <w:vAlign w:val="center"/>
          </w:tcPr>
          <w:p w14:paraId="0AA905C6">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   偏离</w:t>
            </w:r>
          </w:p>
        </w:tc>
      </w:tr>
      <w:tr w14:paraId="58A2C2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651" w:type="dxa"/>
            <w:noWrap w:val="0"/>
            <w:vAlign w:val="center"/>
          </w:tcPr>
          <w:p w14:paraId="6B709FCD">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c>
          <w:tcPr>
            <w:tcW w:w="1620" w:type="dxa"/>
            <w:noWrap w:val="0"/>
            <w:vAlign w:val="center"/>
          </w:tcPr>
          <w:p w14:paraId="4593A1D2">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c>
          <w:tcPr>
            <w:tcW w:w="2700" w:type="dxa"/>
            <w:noWrap w:val="0"/>
            <w:vAlign w:val="center"/>
          </w:tcPr>
          <w:p w14:paraId="44313F50">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c>
          <w:tcPr>
            <w:tcW w:w="2873" w:type="dxa"/>
            <w:gridSpan w:val="2"/>
            <w:noWrap w:val="0"/>
            <w:vAlign w:val="center"/>
          </w:tcPr>
          <w:p w14:paraId="6B2ACC51">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c>
          <w:tcPr>
            <w:tcW w:w="1372" w:type="dxa"/>
            <w:noWrap w:val="0"/>
            <w:vAlign w:val="center"/>
          </w:tcPr>
          <w:p w14:paraId="29EA5742">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r>
      <w:tr w14:paraId="5B6CCD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651" w:type="dxa"/>
            <w:noWrap w:val="0"/>
            <w:vAlign w:val="center"/>
          </w:tcPr>
          <w:p w14:paraId="41377FB9">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c>
          <w:tcPr>
            <w:tcW w:w="1620" w:type="dxa"/>
            <w:noWrap w:val="0"/>
            <w:vAlign w:val="center"/>
          </w:tcPr>
          <w:p w14:paraId="3165913A">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c>
          <w:tcPr>
            <w:tcW w:w="2700" w:type="dxa"/>
            <w:noWrap w:val="0"/>
            <w:vAlign w:val="center"/>
          </w:tcPr>
          <w:p w14:paraId="43B8E7E2">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c>
          <w:tcPr>
            <w:tcW w:w="2873" w:type="dxa"/>
            <w:gridSpan w:val="2"/>
            <w:noWrap w:val="0"/>
            <w:vAlign w:val="center"/>
          </w:tcPr>
          <w:p w14:paraId="1C8F9165">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c>
          <w:tcPr>
            <w:tcW w:w="1372" w:type="dxa"/>
            <w:noWrap w:val="0"/>
            <w:vAlign w:val="center"/>
          </w:tcPr>
          <w:p w14:paraId="0F78A0C8">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r>
      <w:tr w14:paraId="453D2A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651" w:type="dxa"/>
            <w:noWrap w:val="0"/>
            <w:vAlign w:val="center"/>
          </w:tcPr>
          <w:p w14:paraId="5742D8E4">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c>
          <w:tcPr>
            <w:tcW w:w="1620" w:type="dxa"/>
            <w:noWrap w:val="0"/>
            <w:vAlign w:val="center"/>
          </w:tcPr>
          <w:p w14:paraId="38C87DD1">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c>
          <w:tcPr>
            <w:tcW w:w="2700" w:type="dxa"/>
            <w:noWrap w:val="0"/>
            <w:vAlign w:val="center"/>
          </w:tcPr>
          <w:p w14:paraId="0830F9E9">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c>
          <w:tcPr>
            <w:tcW w:w="2873" w:type="dxa"/>
            <w:gridSpan w:val="2"/>
            <w:noWrap w:val="0"/>
            <w:vAlign w:val="center"/>
          </w:tcPr>
          <w:p w14:paraId="534A1E51">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c>
          <w:tcPr>
            <w:tcW w:w="1372" w:type="dxa"/>
            <w:noWrap w:val="0"/>
            <w:vAlign w:val="center"/>
          </w:tcPr>
          <w:p w14:paraId="165FEA8F">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r>
      <w:tr w14:paraId="6C4158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651" w:type="dxa"/>
            <w:noWrap w:val="0"/>
            <w:vAlign w:val="center"/>
          </w:tcPr>
          <w:p w14:paraId="729284BB">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c>
          <w:tcPr>
            <w:tcW w:w="1620" w:type="dxa"/>
            <w:noWrap w:val="0"/>
            <w:vAlign w:val="center"/>
          </w:tcPr>
          <w:p w14:paraId="77ADB986">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c>
          <w:tcPr>
            <w:tcW w:w="2700" w:type="dxa"/>
            <w:noWrap w:val="0"/>
            <w:vAlign w:val="center"/>
          </w:tcPr>
          <w:p w14:paraId="7BBCED5C">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c>
          <w:tcPr>
            <w:tcW w:w="2873" w:type="dxa"/>
            <w:gridSpan w:val="2"/>
            <w:noWrap w:val="0"/>
            <w:vAlign w:val="center"/>
          </w:tcPr>
          <w:p w14:paraId="48057AF0">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c>
          <w:tcPr>
            <w:tcW w:w="1372" w:type="dxa"/>
            <w:noWrap w:val="0"/>
            <w:vAlign w:val="center"/>
          </w:tcPr>
          <w:p w14:paraId="4C4A0AD7">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r>
      <w:tr w14:paraId="684E8B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651" w:type="dxa"/>
            <w:noWrap w:val="0"/>
            <w:vAlign w:val="center"/>
          </w:tcPr>
          <w:p w14:paraId="3379A2E5">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c>
          <w:tcPr>
            <w:tcW w:w="1620" w:type="dxa"/>
            <w:noWrap w:val="0"/>
            <w:vAlign w:val="center"/>
          </w:tcPr>
          <w:p w14:paraId="3AFC8FD8">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c>
          <w:tcPr>
            <w:tcW w:w="2700" w:type="dxa"/>
            <w:noWrap w:val="0"/>
            <w:vAlign w:val="center"/>
          </w:tcPr>
          <w:p w14:paraId="572D8E22">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c>
          <w:tcPr>
            <w:tcW w:w="2873" w:type="dxa"/>
            <w:gridSpan w:val="2"/>
            <w:noWrap w:val="0"/>
            <w:vAlign w:val="center"/>
          </w:tcPr>
          <w:p w14:paraId="2335998B">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c>
          <w:tcPr>
            <w:tcW w:w="1372" w:type="dxa"/>
            <w:noWrap w:val="0"/>
            <w:vAlign w:val="center"/>
          </w:tcPr>
          <w:p w14:paraId="09C9A1DF">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r>
      <w:tr w14:paraId="3D819D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651" w:type="dxa"/>
            <w:noWrap w:val="0"/>
            <w:vAlign w:val="center"/>
          </w:tcPr>
          <w:p w14:paraId="110B7A76">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c>
          <w:tcPr>
            <w:tcW w:w="1620" w:type="dxa"/>
            <w:noWrap w:val="0"/>
            <w:vAlign w:val="center"/>
          </w:tcPr>
          <w:p w14:paraId="6A3E9151">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c>
          <w:tcPr>
            <w:tcW w:w="2700" w:type="dxa"/>
            <w:noWrap w:val="0"/>
            <w:vAlign w:val="center"/>
          </w:tcPr>
          <w:p w14:paraId="080DBF0E">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c>
          <w:tcPr>
            <w:tcW w:w="2873" w:type="dxa"/>
            <w:gridSpan w:val="2"/>
            <w:noWrap w:val="0"/>
            <w:vAlign w:val="center"/>
          </w:tcPr>
          <w:p w14:paraId="2D0C0360">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c>
          <w:tcPr>
            <w:tcW w:w="1372" w:type="dxa"/>
            <w:noWrap w:val="0"/>
            <w:vAlign w:val="center"/>
          </w:tcPr>
          <w:p w14:paraId="6F5B5765">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r>
    </w:tbl>
    <w:p w14:paraId="6FBAD439">
      <w:pPr>
        <w:pageBreakBefore w:val="0"/>
        <w:widowControl/>
        <w:kinsoku/>
        <w:wordWrap/>
        <w:overflowPunct/>
        <w:topLinePunct w:val="0"/>
        <w:autoSpaceDE/>
        <w:autoSpaceDN/>
        <w:bidi w:val="0"/>
        <w:adjustRightInd/>
        <w:snapToGrid/>
        <w:spacing w:line="360" w:lineRule="auto"/>
        <w:ind w:left="210" w:right="567" w:firstLine="420"/>
        <w:textAlignment w:val="auto"/>
        <w:rPr>
          <w:rFonts w:hint="eastAsia" w:ascii="宋体" w:hAnsi="宋体" w:eastAsia="宋体" w:cs="宋体"/>
          <w:color w:val="auto"/>
          <w:szCs w:val="21"/>
          <w:highlight w:val="none"/>
        </w:rPr>
      </w:pPr>
    </w:p>
    <w:p w14:paraId="24123C82">
      <w:pPr>
        <w:pageBreakBefore w:val="0"/>
        <w:widowControl/>
        <w:kinsoku/>
        <w:wordWrap/>
        <w:overflowPunct/>
        <w:topLinePunct w:val="0"/>
        <w:autoSpaceDE/>
        <w:autoSpaceDN/>
        <w:bidi w:val="0"/>
        <w:adjustRightInd/>
        <w:snapToGrid/>
        <w:spacing w:line="360" w:lineRule="auto"/>
        <w:ind w:left="210" w:right="567"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（盖章）</w:t>
      </w:r>
    </w:p>
    <w:p w14:paraId="2D01EBAA">
      <w:pPr>
        <w:pageBreakBefore w:val="0"/>
        <w:widowControl/>
        <w:kinsoku/>
        <w:wordWrap/>
        <w:overflowPunct/>
        <w:topLinePunct w:val="0"/>
        <w:autoSpaceDE/>
        <w:autoSpaceDN/>
        <w:bidi w:val="0"/>
        <w:adjustRightInd/>
        <w:snapToGrid/>
        <w:spacing w:line="360" w:lineRule="auto"/>
        <w:ind w:left="210" w:right="567"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说明：如果行数不够，请自行增加。</w:t>
      </w:r>
    </w:p>
    <w:p w14:paraId="4B7BDD2B">
      <w:pPr>
        <w:pageBreakBefore w:val="0"/>
        <w:widowControl/>
        <w:kinsoku/>
        <w:wordWrap/>
        <w:overflowPunct/>
        <w:topLinePunct w:val="0"/>
        <w:autoSpaceDE/>
        <w:autoSpaceDN/>
        <w:bidi w:val="0"/>
        <w:adjustRightInd/>
        <w:snapToGrid/>
        <w:spacing w:line="360" w:lineRule="auto"/>
        <w:ind w:left="210" w:right="567" w:firstLine="420"/>
        <w:textAlignment w:val="auto"/>
        <w:rPr>
          <w:rFonts w:hint="eastAsia" w:ascii="宋体" w:hAnsi="宋体" w:eastAsia="宋体" w:cs="宋体"/>
          <w:color w:val="auto"/>
          <w:szCs w:val="21"/>
          <w:highlight w:val="none"/>
        </w:rPr>
      </w:pPr>
    </w:p>
    <w:p w14:paraId="7B1A2E13">
      <w:pPr>
        <w:pageBreakBefore w:val="0"/>
        <w:widowControl/>
        <w:kinsoku/>
        <w:wordWrap/>
        <w:overflowPunct/>
        <w:topLinePunct w:val="0"/>
        <w:autoSpaceDE/>
        <w:autoSpaceDN/>
        <w:bidi w:val="0"/>
        <w:adjustRightInd/>
        <w:snapToGrid/>
        <w:spacing w:line="360" w:lineRule="auto"/>
        <w:ind w:left="210" w:right="567" w:firstLine="720"/>
        <w:jc w:val="center"/>
        <w:textAlignment w:val="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技术条款偏离表</w:t>
      </w:r>
    </w:p>
    <w:tbl>
      <w:tblPr>
        <w:tblStyle w:val="29"/>
        <w:tblW w:w="92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1"/>
        <w:gridCol w:w="1620"/>
        <w:gridCol w:w="2700"/>
        <w:gridCol w:w="1415"/>
        <w:gridCol w:w="1458"/>
        <w:gridCol w:w="1372"/>
      </w:tblGrid>
      <w:tr w14:paraId="37109B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tblHeader/>
          <w:jc w:val="center"/>
        </w:trPr>
        <w:tc>
          <w:tcPr>
            <w:tcW w:w="6386" w:type="dxa"/>
            <w:gridSpan w:val="4"/>
            <w:noWrap w:val="0"/>
            <w:vAlign w:val="center"/>
          </w:tcPr>
          <w:p w14:paraId="55962700">
            <w:pPr>
              <w:pageBreakBefore w:val="0"/>
              <w:widowControl/>
              <w:kinsoku/>
              <w:wordWrap/>
              <w:overflowPunct/>
              <w:topLinePunct w:val="0"/>
              <w:autoSpaceDE/>
              <w:autoSpaceDN/>
              <w:bidi w:val="0"/>
              <w:adjustRightInd/>
              <w:snapToGrid/>
              <w:spacing w:line="360" w:lineRule="auto"/>
              <w:ind w:left="210" w:right="567"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项目名称：</w:t>
            </w:r>
          </w:p>
        </w:tc>
        <w:tc>
          <w:tcPr>
            <w:tcW w:w="2830" w:type="dxa"/>
            <w:gridSpan w:val="2"/>
            <w:noWrap w:val="0"/>
            <w:vAlign w:val="center"/>
          </w:tcPr>
          <w:p w14:paraId="055B037A">
            <w:pPr>
              <w:pageBreakBefore w:val="0"/>
              <w:widowControl/>
              <w:kinsoku/>
              <w:wordWrap/>
              <w:overflowPunct/>
              <w:topLinePunct w:val="0"/>
              <w:autoSpaceDE/>
              <w:autoSpaceDN/>
              <w:bidi w:val="0"/>
              <w:adjustRightInd/>
              <w:snapToGrid/>
              <w:spacing w:line="360" w:lineRule="auto"/>
              <w:ind w:left="210" w:right="567"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项目编号：</w:t>
            </w:r>
            <w:r>
              <w:rPr>
                <w:rFonts w:hint="eastAsia" w:ascii="宋体" w:hAnsi="宋体" w:eastAsia="宋体" w:cs="宋体"/>
                <w:color w:val="auto"/>
                <w:szCs w:val="21"/>
                <w:highlight w:val="none"/>
                <w:u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b/>
                <w:color w:val="auto"/>
                <w:szCs w:val="21"/>
                <w:highlight w:val="none"/>
                <w:u w:val="single"/>
              </w:rPr>
              <w:t xml:space="preserve"> </w:t>
            </w:r>
          </w:p>
        </w:tc>
      </w:tr>
      <w:tr w14:paraId="0DCA1C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0" w:hRule="atLeast"/>
          <w:jc w:val="center"/>
        </w:trPr>
        <w:tc>
          <w:tcPr>
            <w:tcW w:w="651" w:type="dxa"/>
            <w:noWrap w:val="0"/>
            <w:vAlign w:val="center"/>
          </w:tcPr>
          <w:p w14:paraId="4867330C">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t>序号</w:t>
            </w:r>
          </w:p>
        </w:tc>
        <w:tc>
          <w:tcPr>
            <w:tcW w:w="1620" w:type="dxa"/>
            <w:noWrap w:val="0"/>
            <w:vAlign w:val="center"/>
          </w:tcPr>
          <w:p w14:paraId="3D841622">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0"/>
                <w:highlight w:val="none"/>
              </w:rPr>
            </w:pPr>
            <w:r>
              <w:rPr>
                <w:rFonts w:hint="eastAsia" w:ascii="宋体" w:hAnsi="宋体" w:eastAsia="宋体" w:cs="宋体"/>
                <w:color w:val="auto"/>
                <w:szCs w:val="20"/>
                <w:highlight w:val="none"/>
                <w:lang w:val="en-US" w:eastAsia="zh-CN"/>
              </w:rPr>
              <w:t>谈判</w:t>
            </w:r>
            <w:r>
              <w:rPr>
                <w:rFonts w:hint="eastAsia" w:ascii="宋体" w:hAnsi="宋体" w:eastAsia="宋体" w:cs="宋体"/>
                <w:color w:val="auto"/>
                <w:szCs w:val="20"/>
                <w:highlight w:val="none"/>
              </w:rPr>
              <w:t>文件条目号</w:t>
            </w:r>
          </w:p>
        </w:tc>
        <w:tc>
          <w:tcPr>
            <w:tcW w:w="2700" w:type="dxa"/>
            <w:noWrap w:val="0"/>
            <w:vAlign w:val="center"/>
          </w:tcPr>
          <w:p w14:paraId="7923F4D9">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0"/>
                <w:highlight w:val="none"/>
              </w:rPr>
            </w:pPr>
            <w:r>
              <w:rPr>
                <w:rFonts w:hint="eastAsia" w:ascii="宋体" w:hAnsi="宋体" w:eastAsia="宋体" w:cs="宋体"/>
                <w:color w:val="auto"/>
                <w:szCs w:val="20"/>
                <w:highlight w:val="none"/>
                <w:lang w:val="en-US" w:eastAsia="zh-CN"/>
              </w:rPr>
              <w:t>谈判</w:t>
            </w:r>
            <w:r>
              <w:rPr>
                <w:rFonts w:hint="eastAsia" w:ascii="宋体" w:hAnsi="宋体" w:eastAsia="宋体" w:cs="宋体"/>
                <w:color w:val="auto"/>
                <w:szCs w:val="20"/>
                <w:highlight w:val="none"/>
              </w:rPr>
              <w:t>文件的技术条款</w:t>
            </w:r>
          </w:p>
        </w:tc>
        <w:tc>
          <w:tcPr>
            <w:tcW w:w="2873" w:type="dxa"/>
            <w:gridSpan w:val="2"/>
            <w:noWrap w:val="0"/>
            <w:vAlign w:val="center"/>
          </w:tcPr>
          <w:p w14:paraId="3687D8BE">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t>供应商响应</w:t>
            </w:r>
          </w:p>
        </w:tc>
        <w:tc>
          <w:tcPr>
            <w:tcW w:w="1372" w:type="dxa"/>
            <w:noWrap w:val="0"/>
            <w:vAlign w:val="center"/>
          </w:tcPr>
          <w:p w14:paraId="3DBC291D">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   偏离</w:t>
            </w:r>
          </w:p>
        </w:tc>
      </w:tr>
      <w:tr w14:paraId="68347F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651" w:type="dxa"/>
            <w:noWrap w:val="0"/>
            <w:vAlign w:val="center"/>
          </w:tcPr>
          <w:p w14:paraId="40B14533">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c>
          <w:tcPr>
            <w:tcW w:w="1620" w:type="dxa"/>
            <w:noWrap w:val="0"/>
            <w:vAlign w:val="center"/>
          </w:tcPr>
          <w:p w14:paraId="78573D5B">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c>
          <w:tcPr>
            <w:tcW w:w="2700" w:type="dxa"/>
            <w:noWrap w:val="0"/>
            <w:vAlign w:val="center"/>
          </w:tcPr>
          <w:p w14:paraId="501BEF59">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c>
          <w:tcPr>
            <w:tcW w:w="2873" w:type="dxa"/>
            <w:gridSpan w:val="2"/>
            <w:noWrap w:val="0"/>
            <w:vAlign w:val="center"/>
          </w:tcPr>
          <w:p w14:paraId="000116DA">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c>
          <w:tcPr>
            <w:tcW w:w="1372" w:type="dxa"/>
            <w:noWrap w:val="0"/>
            <w:vAlign w:val="center"/>
          </w:tcPr>
          <w:p w14:paraId="37AF275B">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r>
      <w:tr w14:paraId="33C0D6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651" w:type="dxa"/>
            <w:noWrap w:val="0"/>
            <w:vAlign w:val="center"/>
          </w:tcPr>
          <w:p w14:paraId="768DB894">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c>
          <w:tcPr>
            <w:tcW w:w="1620" w:type="dxa"/>
            <w:noWrap w:val="0"/>
            <w:vAlign w:val="center"/>
          </w:tcPr>
          <w:p w14:paraId="17865D67">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c>
          <w:tcPr>
            <w:tcW w:w="2700" w:type="dxa"/>
            <w:noWrap w:val="0"/>
            <w:vAlign w:val="center"/>
          </w:tcPr>
          <w:p w14:paraId="60A41870">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c>
          <w:tcPr>
            <w:tcW w:w="2873" w:type="dxa"/>
            <w:gridSpan w:val="2"/>
            <w:noWrap w:val="0"/>
            <w:vAlign w:val="center"/>
          </w:tcPr>
          <w:p w14:paraId="22F19107">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c>
          <w:tcPr>
            <w:tcW w:w="1372" w:type="dxa"/>
            <w:noWrap w:val="0"/>
            <w:vAlign w:val="center"/>
          </w:tcPr>
          <w:p w14:paraId="4429A88C">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r>
      <w:tr w14:paraId="424A9F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651" w:type="dxa"/>
            <w:noWrap w:val="0"/>
            <w:vAlign w:val="center"/>
          </w:tcPr>
          <w:p w14:paraId="3099E10B">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c>
          <w:tcPr>
            <w:tcW w:w="1620" w:type="dxa"/>
            <w:noWrap w:val="0"/>
            <w:vAlign w:val="center"/>
          </w:tcPr>
          <w:p w14:paraId="59C1B36E">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c>
          <w:tcPr>
            <w:tcW w:w="2700" w:type="dxa"/>
            <w:noWrap w:val="0"/>
            <w:vAlign w:val="center"/>
          </w:tcPr>
          <w:p w14:paraId="3740E317">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c>
          <w:tcPr>
            <w:tcW w:w="2873" w:type="dxa"/>
            <w:gridSpan w:val="2"/>
            <w:noWrap w:val="0"/>
            <w:vAlign w:val="center"/>
          </w:tcPr>
          <w:p w14:paraId="6700D6A5">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c>
          <w:tcPr>
            <w:tcW w:w="1372" w:type="dxa"/>
            <w:noWrap w:val="0"/>
            <w:vAlign w:val="center"/>
          </w:tcPr>
          <w:p w14:paraId="33605C07">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r>
      <w:tr w14:paraId="4D0E01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651" w:type="dxa"/>
            <w:noWrap w:val="0"/>
            <w:vAlign w:val="center"/>
          </w:tcPr>
          <w:p w14:paraId="046E29BB">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c>
          <w:tcPr>
            <w:tcW w:w="1620" w:type="dxa"/>
            <w:noWrap w:val="0"/>
            <w:vAlign w:val="center"/>
          </w:tcPr>
          <w:p w14:paraId="13632333">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c>
          <w:tcPr>
            <w:tcW w:w="2700" w:type="dxa"/>
            <w:noWrap w:val="0"/>
            <w:vAlign w:val="center"/>
          </w:tcPr>
          <w:p w14:paraId="0794DEBF">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c>
          <w:tcPr>
            <w:tcW w:w="2873" w:type="dxa"/>
            <w:gridSpan w:val="2"/>
            <w:noWrap w:val="0"/>
            <w:vAlign w:val="center"/>
          </w:tcPr>
          <w:p w14:paraId="7667FBF2">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c>
          <w:tcPr>
            <w:tcW w:w="1372" w:type="dxa"/>
            <w:noWrap w:val="0"/>
            <w:vAlign w:val="center"/>
          </w:tcPr>
          <w:p w14:paraId="6B1B1152">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r>
      <w:tr w14:paraId="614F27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651" w:type="dxa"/>
            <w:noWrap w:val="0"/>
            <w:vAlign w:val="center"/>
          </w:tcPr>
          <w:p w14:paraId="7C9105CB">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c>
          <w:tcPr>
            <w:tcW w:w="1620" w:type="dxa"/>
            <w:noWrap w:val="0"/>
            <w:vAlign w:val="center"/>
          </w:tcPr>
          <w:p w14:paraId="53791B1E">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c>
          <w:tcPr>
            <w:tcW w:w="2700" w:type="dxa"/>
            <w:noWrap w:val="0"/>
            <w:vAlign w:val="center"/>
          </w:tcPr>
          <w:p w14:paraId="0E657551">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c>
          <w:tcPr>
            <w:tcW w:w="2873" w:type="dxa"/>
            <w:gridSpan w:val="2"/>
            <w:noWrap w:val="0"/>
            <w:vAlign w:val="center"/>
          </w:tcPr>
          <w:p w14:paraId="354BA0B3">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c>
          <w:tcPr>
            <w:tcW w:w="1372" w:type="dxa"/>
            <w:noWrap w:val="0"/>
            <w:vAlign w:val="center"/>
          </w:tcPr>
          <w:p w14:paraId="0EBA051F">
            <w:pPr>
              <w:pageBreakBefore w:val="0"/>
              <w:widowControl/>
              <w:kinsoku/>
              <w:wordWrap/>
              <w:overflowPunct/>
              <w:topLinePunct w:val="0"/>
              <w:autoSpaceDE/>
              <w:autoSpaceDN/>
              <w:bidi w:val="0"/>
              <w:adjustRightInd/>
              <w:snapToGrid/>
              <w:spacing w:line="360" w:lineRule="auto"/>
              <w:ind w:left="210" w:right="567" w:firstLine="420"/>
              <w:jc w:val="center"/>
              <w:textAlignment w:val="auto"/>
              <w:rPr>
                <w:rFonts w:hint="eastAsia" w:ascii="宋体" w:hAnsi="宋体" w:eastAsia="宋体" w:cs="宋体"/>
                <w:color w:val="auto"/>
                <w:szCs w:val="21"/>
                <w:highlight w:val="none"/>
              </w:rPr>
            </w:pPr>
          </w:p>
        </w:tc>
      </w:tr>
    </w:tbl>
    <w:p w14:paraId="5FA0DE70">
      <w:pPr>
        <w:pageBreakBefore w:val="0"/>
        <w:widowControl/>
        <w:kinsoku/>
        <w:wordWrap/>
        <w:overflowPunct/>
        <w:topLinePunct w:val="0"/>
        <w:autoSpaceDE/>
        <w:autoSpaceDN/>
        <w:bidi w:val="0"/>
        <w:adjustRightInd/>
        <w:snapToGrid/>
        <w:spacing w:line="360" w:lineRule="auto"/>
        <w:ind w:left="210" w:right="567" w:firstLine="420"/>
        <w:textAlignment w:val="auto"/>
        <w:rPr>
          <w:rFonts w:hint="eastAsia" w:ascii="宋体" w:hAnsi="宋体" w:eastAsia="宋体" w:cs="宋体"/>
          <w:color w:val="auto"/>
          <w:szCs w:val="21"/>
          <w:highlight w:val="none"/>
        </w:rPr>
      </w:pPr>
    </w:p>
    <w:p w14:paraId="237CF41A">
      <w:pPr>
        <w:pageBreakBefore w:val="0"/>
        <w:widowControl/>
        <w:kinsoku/>
        <w:wordWrap/>
        <w:overflowPunct/>
        <w:topLinePunct w:val="0"/>
        <w:autoSpaceDE/>
        <w:autoSpaceDN/>
        <w:bidi w:val="0"/>
        <w:adjustRightInd/>
        <w:snapToGrid/>
        <w:spacing w:line="360" w:lineRule="auto"/>
        <w:ind w:left="210" w:right="567"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（盖章）</w:t>
      </w:r>
    </w:p>
    <w:p w14:paraId="780E4C2E">
      <w:pPr>
        <w:pageBreakBefore w:val="0"/>
        <w:widowControl/>
        <w:kinsoku/>
        <w:wordWrap/>
        <w:overflowPunct/>
        <w:topLinePunct w:val="0"/>
        <w:autoSpaceDE/>
        <w:autoSpaceDN/>
        <w:bidi w:val="0"/>
        <w:adjustRightInd/>
        <w:snapToGrid/>
        <w:spacing w:line="360" w:lineRule="auto"/>
        <w:ind w:left="210" w:right="567"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说明：如果行数不够，请自行增加。</w:t>
      </w:r>
    </w:p>
    <w:p w14:paraId="2E0125ED">
      <w:pPr>
        <w:pStyle w:val="275"/>
        <w:pageBreakBefore w:val="0"/>
        <w:kinsoku/>
        <w:wordWrap/>
        <w:overflowPunct/>
        <w:topLinePunct w:val="0"/>
        <w:autoSpaceDE/>
        <w:autoSpaceDN/>
        <w:bidi w:val="0"/>
        <w:adjustRightInd/>
        <w:snapToGrid/>
        <w:spacing w:line="360" w:lineRule="auto"/>
        <w:ind w:firstLine="0"/>
        <w:textAlignment w:val="auto"/>
        <w:rPr>
          <w:rFonts w:hint="eastAsia" w:ascii="宋体" w:hAnsi="宋体" w:eastAsia="宋体" w:cs="宋体"/>
          <w:b/>
          <w:bCs/>
          <w:color w:val="auto"/>
          <w:sz w:val="24"/>
          <w:highlight w:val="none"/>
        </w:rPr>
        <w:sectPr>
          <w:pgSz w:w="11906" w:h="16838"/>
          <w:pgMar w:top="2098" w:right="1474" w:bottom="1984" w:left="1587" w:header="851" w:footer="992" w:gutter="0"/>
          <w:cols w:space="1701" w:num="1"/>
          <w:docGrid w:linePitch="360" w:charSpace="0"/>
        </w:sectPr>
      </w:pPr>
    </w:p>
    <w:p w14:paraId="0959D180">
      <w:pPr>
        <w:pageBreakBefore w:val="0"/>
        <w:numPr>
          <w:ilvl w:val="0"/>
          <w:numId w:val="7"/>
        </w:numPr>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中小企业声明函</w:t>
      </w:r>
    </w:p>
    <w:p w14:paraId="747B267E">
      <w:pPr>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中小企业声明函</w:t>
      </w:r>
    </w:p>
    <w:p w14:paraId="5090CB80">
      <w:pPr>
        <w:keepNext w:val="0"/>
        <w:keepLines w:val="0"/>
        <w:pageBreakBefore w:val="0"/>
        <w:widowControl w:val="0"/>
        <w:kinsoku/>
        <w:wordWrap/>
        <w:overflowPunct/>
        <w:topLinePunct w:val="0"/>
        <w:autoSpaceDE/>
        <w:autoSpaceDN/>
        <w:bidi w:val="0"/>
        <w:adjustRightInd/>
        <w:snapToGrid/>
        <w:spacing w:before="199" w:line="360" w:lineRule="auto"/>
        <w:ind w:left="396" w:firstLine="392"/>
        <w:textAlignment w:val="auto"/>
        <w:rPr>
          <w:rFonts w:hint="eastAsia" w:ascii="宋体" w:hAnsi="宋体" w:eastAsia="宋体" w:cs="宋体"/>
          <w:color w:val="auto"/>
          <w:spacing w:val="-22"/>
          <w:sz w:val="28"/>
          <w:szCs w:val="28"/>
          <w:highlight w:val="none"/>
        </w:rPr>
      </w:pPr>
      <w:r>
        <w:rPr>
          <w:rFonts w:hint="eastAsia" w:ascii="宋体" w:hAnsi="宋体" w:eastAsia="宋体" w:cs="宋体"/>
          <w:color w:val="auto"/>
          <w:spacing w:val="-22"/>
          <w:sz w:val="28"/>
          <w:szCs w:val="28"/>
          <w:highlight w:val="none"/>
        </w:rPr>
        <w:t xml:space="preserve">本公司郑重声明，根据《政府采购促进中小企业发展管理办法》（财库﹝2020﹞46 号）的规定，本公司参加 </w:t>
      </w:r>
      <w:r>
        <w:rPr>
          <w:rFonts w:hint="eastAsia" w:ascii="宋体" w:hAnsi="宋体" w:eastAsia="宋体" w:cs="宋体"/>
          <w:color w:val="auto"/>
          <w:spacing w:val="-22"/>
          <w:sz w:val="28"/>
          <w:szCs w:val="28"/>
          <w:highlight w:val="none"/>
          <w:u w:val="single"/>
        </w:rPr>
        <w:t xml:space="preserve">       </w:t>
      </w:r>
      <w:r>
        <w:rPr>
          <w:rFonts w:hint="eastAsia" w:ascii="宋体" w:hAnsi="宋体" w:eastAsia="宋体" w:cs="宋体"/>
          <w:color w:val="auto"/>
          <w:spacing w:val="-22"/>
          <w:sz w:val="28"/>
          <w:szCs w:val="28"/>
          <w:highlight w:val="none"/>
        </w:rPr>
        <w:t xml:space="preserve">（单位名称）的 </w:t>
      </w:r>
      <w:r>
        <w:rPr>
          <w:rFonts w:hint="eastAsia" w:ascii="宋体" w:hAnsi="宋体" w:eastAsia="宋体" w:cs="宋体"/>
          <w:color w:val="auto"/>
          <w:spacing w:val="-22"/>
          <w:sz w:val="28"/>
          <w:szCs w:val="28"/>
          <w:highlight w:val="none"/>
          <w:u w:val="single"/>
        </w:rPr>
        <w:t xml:space="preserve">      </w:t>
      </w:r>
      <w:r>
        <w:rPr>
          <w:rFonts w:hint="eastAsia" w:ascii="宋体" w:hAnsi="宋体" w:eastAsia="宋体" w:cs="宋体"/>
          <w:color w:val="auto"/>
          <w:spacing w:val="-22"/>
          <w:sz w:val="28"/>
          <w:szCs w:val="28"/>
          <w:highlight w:val="none"/>
        </w:rPr>
        <w:t>（项目名称）采购活动，工程的施工单位全部为符合政策要求的中小企业（或者：服务全部由符合政策要求的中小企业承接）。相关企业的具体情况如下：</w:t>
      </w:r>
    </w:p>
    <w:p w14:paraId="5F7D1375">
      <w:pPr>
        <w:keepNext w:val="0"/>
        <w:keepLines w:val="0"/>
        <w:pageBreakBefore w:val="0"/>
        <w:widowControl w:val="0"/>
        <w:kinsoku/>
        <w:wordWrap/>
        <w:overflowPunct/>
        <w:topLinePunct w:val="0"/>
        <w:autoSpaceDE/>
        <w:autoSpaceDN/>
        <w:bidi w:val="0"/>
        <w:adjustRightInd/>
        <w:snapToGrid/>
        <w:spacing w:before="199" w:line="360" w:lineRule="auto"/>
        <w:ind w:left="396"/>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1.</w:t>
      </w:r>
      <w:r>
        <w:rPr>
          <w:rFonts w:hint="eastAsia" w:ascii="宋体" w:hAnsi="宋体" w:eastAsia="宋体" w:cs="宋体"/>
          <w:color w:val="auto"/>
          <w:sz w:val="28"/>
          <w:szCs w:val="28"/>
          <w:highlight w:val="none"/>
          <w:u w:val="single"/>
        </w:rPr>
        <w:t>（标的名称）</w:t>
      </w:r>
      <w:r>
        <w:rPr>
          <w:rFonts w:hint="eastAsia" w:ascii="宋体" w:hAnsi="宋体" w:eastAsia="宋体" w:cs="宋体"/>
          <w:color w:val="auto"/>
          <w:spacing w:val="-42"/>
          <w:sz w:val="28"/>
          <w:szCs w:val="28"/>
          <w:highlight w:val="none"/>
        </w:rPr>
        <w:t>，属</w:t>
      </w:r>
      <w:r>
        <w:rPr>
          <w:rFonts w:hint="eastAsia" w:ascii="宋体" w:hAnsi="宋体" w:eastAsia="宋体" w:cs="宋体"/>
          <w:color w:val="auto"/>
          <w:spacing w:val="-81"/>
          <w:sz w:val="28"/>
          <w:szCs w:val="28"/>
          <w:highlight w:val="none"/>
        </w:rPr>
        <w:t xml:space="preserve">         </w:t>
      </w:r>
      <w:r>
        <w:rPr>
          <w:rFonts w:hint="eastAsia" w:ascii="宋体" w:hAnsi="宋体" w:eastAsia="宋体" w:cs="宋体"/>
          <w:color w:val="auto"/>
          <w:spacing w:val="-40"/>
          <w:sz w:val="28"/>
          <w:szCs w:val="28"/>
          <w:highlight w:val="none"/>
        </w:rPr>
        <w:t>于（</w:t>
      </w:r>
      <w:r>
        <w:rPr>
          <w:rFonts w:hint="eastAsia" w:ascii="宋体" w:hAnsi="宋体" w:eastAsia="宋体" w:cs="宋体"/>
          <w:color w:val="auto"/>
          <w:sz w:val="28"/>
          <w:szCs w:val="28"/>
          <w:highlight w:val="none"/>
          <w:u w:val="single"/>
        </w:rPr>
        <w:t>采购文件中明确的所属行业</w:t>
      </w:r>
      <w:r>
        <w:rPr>
          <w:rFonts w:hint="eastAsia" w:ascii="宋体" w:hAnsi="宋体" w:eastAsia="宋体" w:cs="宋体"/>
          <w:color w:val="auto"/>
          <w:spacing w:val="-159"/>
          <w:sz w:val="28"/>
          <w:szCs w:val="28"/>
          <w:highlight w:val="none"/>
        </w:rPr>
        <w:t>）；</w:t>
      </w:r>
      <w:r>
        <w:rPr>
          <w:rFonts w:hint="eastAsia" w:ascii="宋体" w:hAnsi="宋体" w:eastAsia="宋体" w:cs="宋体"/>
          <w:color w:val="auto"/>
          <w:spacing w:val="-159"/>
          <w:sz w:val="28"/>
          <w:szCs w:val="28"/>
          <w:highlight w:val="none"/>
          <w:lang w:val="en-US" w:eastAsia="zh-CN"/>
        </w:rPr>
        <w:t xml:space="preserve">      </w:t>
      </w:r>
      <w:r>
        <w:rPr>
          <w:rFonts w:hint="eastAsia" w:ascii="宋体" w:hAnsi="宋体" w:eastAsia="宋体" w:cs="宋体"/>
          <w:color w:val="auto"/>
          <w:spacing w:val="5"/>
          <w:sz w:val="28"/>
          <w:szCs w:val="28"/>
          <w:highlight w:val="none"/>
        </w:rPr>
        <w:t>承建（承接）企业为</w:t>
      </w:r>
      <w:r>
        <w:rPr>
          <w:rFonts w:hint="eastAsia" w:ascii="宋体" w:hAnsi="宋体" w:eastAsia="宋体" w:cs="宋体"/>
          <w:color w:val="auto"/>
          <w:spacing w:val="5"/>
          <w:sz w:val="28"/>
          <w:szCs w:val="28"/>
          <w:highlight w:val="none"/>
          <w:u w:val="single"/>
        </w:rPr>
        <w:t>（企业名称</w:t>
      </w:r>
      <w:r>
        <w:rPr>
          <w:rFonts w:hint="eastAsia" w:ascii="宋体" w:hAnsi="宋体" w:eastAsia="宋体" w:cs="宋体"/>
          <w:color w:val="auto"/>
          <w:spacing w:val="-22"/>
          <w:sz w:val="28"/>
          <w:szCs w:val="28"/>
          <w:highlight w:val="none"/>
        </w:rPr>
        <w:t>），从业人员</w:t>
      </w:r>
      <w:r>
        <w:rPr>
          <w:rFonts w:hint="eastAsia" w:ascii="宋体" w:hAnsi="宋体" w:eastAsia="宋体" w:cs="宋体"/>
          <w:color w:val="auto"/>
          <w:spacing w:val="-22"/>
          <w:sz w:val="28"/>
          <w:szCs w:val="28"/>
          <w:highlight w:val="none"/>
          <w:u w:val="single"/>
        </w:rPr>
        <w:t xml:space="preserve">    </w:t>
      </w:r>
      <w:r>
        <w:rPr>
          <w:rFonts w:hint="eastAsia" w:ascii="宋体" w:hAnsi="宋体" w:eastAsia="宋体" w:cs="宋体"/>
          <w:color w:val="auto"/>
          <w:spacing w:val="-22"/>
          <w:sz w:val="28"/>
          <w:szCs w:val="28"/>
          <w:highlight w:val="none"/>
        </w:rPr>
        <w:t>人，营业</w:t>
      </w:r>
      <w:r>
        <w:rPr>
          <w:rFonts w:hint="eastAsia" w:ascii="宋体" w:hAnsi="宋体" w:eastAsia="宋体" w:cs="宋体"/>
          <w:color w:val="auto"/>
          <w:sz w:val="28"/>
          <w:szCs w:val="28"/>
          <w:highlight w:val="none"/>
        </w:rPr>
        <w:t>收入为</w:t>
      </w:r>
      <w:r>
        <w:rPr>
          <w:rFonts w:hint="eastAsia" w:ascii="宋体" w:hAnsi="宋体" w:eastAsia="宋体" w:cs="宋体"/>
          <w:color w:val="auto"/>
          <w:spacing w:val="560"/>
          <w:sz w:val="28"/>
          <w:szCs w:val="28"/>
          <w:highlight w:val="none"/>
          <w:u w:val="single"/>
          <w:lang w:val="en-US" w:eastAsia="zh-CN"/>
        </w:rPr>
        <w:t xml:space="preserve"> </w:t>
      </w:r>
      <w:r>
        <w:rPr>
          <w:rFonts w:hint="eastAsia" w:ascii="宋体" w:hAnsi="宋体" w:eastAsia="宋体" w:cs="宋体"/>
          <w:color w:val="auto"/>
          <w:sz w:val="28"/>
          <w:szCs w:val="28"/>
          <w:highlight w:val="none"/>
        </w:rPr>
        <w:t>万元，资产总额为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pacing w:val="-1"/>
          <w:sz w:val="28"/>
          <w:szCs w:val="28"/>
          <w:highlight w:val="none"/>
        </w:rPr>
        <w:t>万元</w:t>
      </w:r>
      <w:r>
        <w:rPr>
          <w:rFonts w:hint="eastAsia" w:ascii="宋体" w:hAnsi="宋体" w:eastAsia="宋体" w:cs="宋体"/>
          <w:color w:val="auto"/>
          <w:spacing w:val="2"/>
          <w:sz w:val="28"/>
          <w:szCs w:val="28"/>
          <w:highlight w:val="none"/>
        </w:rPr>
        <w:t xml:space="preserve"> </w:t>
      </w:r>
      <w:r>
        <w:rPr>
          <w:rFonts w:hint="eastAsia" w:ascii="宋体" w:hAnsi="宋体" w:eastAsia="宋体" w:cs="宋体"/>
          <w:color w:val="auto"/>
          <w:sz w:val="28"/>
          <w:szCs w:val="28"/>
          <w:highlight w:val="none"/>
        </w:rPr>
        <w:t>，属于</w:t>
      </w:r>
      <w:r>
        <w:rPr>
          <w:rFonts w:hint="eastAsia" w:ascii="宋体" w:hAnsi="宋体" w:eastAsia="宋体" w:cs="宋体"/>
          <w:color w:val="auto"/>
          <w:sz w:val="28"/>
          <w:szCs w:val="28"/>
          <w:highlight w:val="none"/>
          <w:u w:val="single"/>
        </w:rPr>
        <w:t>（中型企业</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小型企业、微型企业</w:t>
      </w:r>
      <w:r>
        <w:rPr>
          <w:rFonts w:hint="eastAsia" w:ascii="宋体" w:hAnsi="宋体" w:eastAsia="宋体" w:cs="宋体"/>
          <w:color w:val="auto"/>
          <w:spacing w:val="-159"/>
          <w:sz w:val="28"/>
          <w:szCs w:val="28"/>
          <w:highlight w:val="none"/>
        </w:rPr>
        <w:t>）；</w:t>
      </w:r>
    </w:p>
    <w:p w14:paraId="50D673E9">
      <w:pPr>
        <w:keepNext w:val="0"/>
        <w:keepLines w:val="0"/>
        <w:pageBreakBefore w:val="0"/>
        <w:widowControl w:val="0"/>
        <w:kinsoku/>
        <w:wordWrap/>
        <w:overflowPunct/>
        <w:topLinePunct w:val="0"/>
        <w:autoSpaceDE/>
        <w:autoSpaceDN/>
        <w:bidi w:val="0"/>
        <w:adjustRightInd/>
        <w:snapToGrid/>
        <w:spacing w:before="201" w:line="360" w:lineRule="auto"/>
        <w:ind w:left="396"/>
        <w:textAlignment w:val="auto"/>
        <w:rPr>
          <w:rFonts w:hint="eastAsia" w:ascii="宋体" w:hAnsi="宋体" w:eastAsia="宋体" w:cs="宋体"/>
          <w:color w:val="auto"/>
          <w:sz w:val="28"/>
          <w:szCs w:val="28"/>
          <w:highlight w:val="none"/>
        </w:rPr>
      </w:pPr>
      <w:r>
        <w:rPr>
          <w:rFonts w:hint="eastAsia" w:ascii="宋体" w:hAnsi="宋体" w:eastAsia="宋体" w:cs="宋体"/>
          <w:color w:val="auto"/>
          <w:spacing w:val="1"/>
          <w:sz w:val="28"/>
          <w:szCs w:val="28"/>
          <w:highlight w:val="none"/>
        </w:rPr>
        <w:t>2.</w:t>
      </w:r>
      <w:r>
        <w:rPr>
          <w:rFonts w:hint="eastAsia" w:ascii="宋体" w:hAnsi="宋体" w:eastAsia="宋体" w:cs="宋体"/>
          <w:color w:val="auto"/>
          <w:spacing w:val="-6"/>
          <w:sz w:val="28"/>
          <w:szCs w:val="28"/>
          <w:highlight w:val="none"/>
        </w:rPr>
        <w:t xml:space="preserve"> </w:t>
      </w:r>
      <w:r>
        <w:rPr>
          <w:rFonts w:hint="eastAsia" w:ascii="宋体" w:hAnsi="宋体" w:eastAsia="宋体" w:cs="宋体"/>
          <w:color w:val="auto"/>
          <w:sz w:val="28"/>
          <w:szCs w:val="28"/>
          <w:highlight w:val="none"/>
          <w:u w:val="single"/>
        </w:rPr>
        <w:t>（标的名称）</w:t>
      </w:r>
      <w:r>
        <w:rPr>
          <w:rFonts w:hint="eastAsia" w:ascii="宋体" w:hAnsi="宋体" w:eastAsia="宋体" w:cs="宋体"/>
          <w:color w:val="auto"/>
          <w:spacing w:val="-42"/>
          <w:sz w:val="28"/>
          <w:szCs w:val="28"/>
          <w:highlight w:val="none"/>
        </w:rPr>
        <w:t>，属</w:t>
      </w:r>
      <w:r>
        <w:rPr>
          <w:rFonts w:hint="eastAsia" w:ascii="宋体" w:hAnsi="宋体" w:eastAsia="宋体" w:cs="宋体"/>
          <w:color w:val="auto"/>
          <w:spacing w:val="-81"/>
          <w:sz w:val="28"/>
          <w:szCs w:val="28"/>
          <w:highlight w:val="none"/>
        </w:rPr>
        <w:t xml:space="preserve"> </w:t>
      </w:r>
      <w:r>
        <w:rPr>
          <w:rFonts w:hint="eastAsia" w:ascii="宋体" w:hAnsi="宋体" w:eastAsia="宋体" w:cs="宋体"/>
          <w:color w:val="auto"/>
          <w:spacing w:val="-40"/>
          <w:sz w:val="28"/>
          <w:szCs w:val="28"/>
          <w:highlight w:val="none"/>
        </w:rPr>
        <w:t>于（</w:t>
      </w:r>
      <w:r>
        <w:rPr>
          <w:rFonts w:hint="eastAsia" w:ascii="宋体" w:hAnsi="宋体" w:eastAsia="宋体" w:cs="宋体"/>
          <w:color w:val="auto"/>
          <w:sz w:val="28"/>
          <w:szCs w:val="28"/>
          <w:highlight w:val="none"/>
          <w:u w:val="single"/>
        </w:rPr>
        <w:t>采购文件中明确的所属行业</w:t>
      </w:r>
      <w:r>
        <w:rPr>
          <w:rFonts w:hint="eastAsia" w:ascii="宋体" w:hAnsi="宋体" w:eastAsia="宋体" w:cs="宋体"/>
          <w:color w:val="auto"/>
          <w:spacing w:val="-159"/>
          <w:sz w:val="28"/>
          <w:szCs w:val="28"/>
          <w:highlight w:val="none"/>
        </w:rPr>
        <w:t>）；</w:t>
      </w:r>
      <w:r>
        <w:rPr>
          <w:rFonts w:hint="eastAsia" w:ascii="宋体" w:hAnsi="宋体" w:eastAsia="宋体" w:cs="宋体"/>
          <w:color w:val="auto"/>
          <w:spacing w:val="5"/>
          <w:sz w:val="28"/>
          <w:szCs w:val="28"/>
          <w:highlight w:val="none"/>
        </w:rPr>
        <w:t>承建（承接）企业为</w:t>
      </w:r>
      <w:r>
        <w:rPr>
          <w:rFonts w:hint="eastAsia" w:ascii="宋体" w:hAnsi="宋体" w:eastAsia="宋体" w:cs="宋体"/>
          <w:color w:val="auto"/>
          <w:spacing w:val="5"/>
          <w:sz w:val="28"/>
          <w:szCs w:val="28"/>
          <w:highlight w:val="none"/>
          <w:u w:val="single"/>
        </w:rPr>
        <w:t>（企业名称</w:t>
      </w:r>
      <w:r>
        <w:rPr>
          <w:rFonts w:hint="eastAsia" w:ascii="宋体" w:hAnsi="宋体" w:eastAsia="宋体" w:cs="宋体"/>
          <w:color w:val="auto"/>
          <w:spacing w:val="-22"/>
          <w:sz w:val="28"/>
          <w:szCs w:val="28"/>
          <w:highlight w:val="none"/>
        </w:rPr>
        <w:t>），从业人员</w:t>
      </w:r>
      <w:r>
        <w:rPr>
          <w:rFonts w:hint="eastAsia" w:ascii="宋体" w:hAnsi="宋体" w:eastAsia="宋体" w:cs="宋体"/>
          <w:color w:val="auto"/>
          <w:spacing w:val="609"/>
          <w:sz w:val="28"/>
          <w:szCs w:val="28"/>
          <w:highlight w:val="none"/>
          <w:u w:val="single"/>
        </w:rPr>
        <w:t xml:space="preserve"> </w:t>
      </w:r>
      <w:r>
        <w:rPr>
          <w:rFonts w:hint="eastAsia" w:ascii="宋体" w:hAnsi="宋体" w:eastAsia="宋体" w:cs="宋体"/>
          <w:color w:val="auto"/>
          <w:spacing w:val="6"/>
          <w:sz w:val="28"/>
          <w:szCs w:val="28"/>
          <w:highlight w:val="none"/>
        </w:rPr>
        <w:t>人，营业</w:t>
      </w:r>
      <w:r>
        <w:rPr>
          <w:rFonts w:hint="eastAsia" w:ascii="宋体" w:hAnsi="宋体" w:eastAsia="宋体" w:cs="宋体"/>
          <w:color w:val="auto"/>
          <w:sz w:val="28"/>
          <w:szCs w:val="28"/>
          <w:highlight w:val="none"/>
        </w:rPr>
        <w:t>收入为</w:t>
      </w:r>
      <w:r>
        <w:rPr>
          <w:rFonts w:hint="eastAsia" w:ascii="宋体" w:hAnsi="宋体" w:eastAsia="宋体" w:cs="宋体"/>
          <w:color w:val="auto"/>
          <w:spacing w:val="560"/>
          <w:sz w:val="28"/>
          <w:szCs w:val="28"/>
          <w:highlight w:val="none"/>
          <w:u w:val="single"/>
        </w:rPr>
        <w:t xml:space="preserve"> </w:t>
      </w:r>
      <w:r>
        <w:rPr>
          <w:rFonts w:hint="eastAsia" w:ascii="宋体" w:hAnsi="宋体" w:eastAsia="宋体" w:cs="宋体"/>
          <w:color w:val="auto"/>
          <w:sz w:val="28"/>
          <w:szCs w:val="28"/>
          <w:highlight w:val="none"/>
        </w:rPr>
        <w:t>万元，资产总额为</w:t>
      </w:r>
      <w:r>
        <w:rPr>
          <w:rFonts w:hint="eastAsia" w:ascii="宋体" w:hAnsi="宋体" w:eastAsia="宋体" w:cs="宋体"/>
          <w:color w:val="auto"/>
          <w:spacing w:val="560"/>
          <w:sz w:val="28"/>
          <w:szCs w:val="28"/>
          <w:highlight w:val="none"/>
          <w:u w:val="single"/>
        </w:rPr>
        <w:t xml:space="preserve"> </w:t>
      </w:r>
      <w:r>
        <w:rPr>
          <w:rFonts w:hint="eastAsia" w:ascii="宋体" w:hAnsi="宋体" w:eastAsia="宋体" w:cs="宋体"/>
          <w:color w:val="auto"/>
          <w:sz w:val="28"/>
          <w:szCs w:val="28"/>
          <w:highlight w:val="none"/>
        </w:rPr>
        <w:t>万元，属于</w:t>
      </w:r>
      <w:r>
        <w:rPr>
          <w:rFonts w:hint="eastAsia" w:ascii="宋体" w:hAnsi="宋体" w:eastAsia="宋体" w:cs="宋体"/>
          <w:color w:val="auto"/>
          <w:sz w:val="28"/>
          <w:szCs w:val="28"/>
          <w:highlight w:val="none"/>
          <w:u w:val="single"/>
        </w:rPr>
        <w:t>（中型企业、小型企业、微型企业</w:t>
      </w:r>
      <w:r>
        <w:rPr>
          <w:rFonts w:hint="eastAsia" w:ascii="宋体" w:hAnsi="宋体" w:eastAsia="宋体" w:cs="宋体"/>
          <w:color w:val="auto"/>
          <w:spacing w:val="-159"/>
          <w:sz w:val="28"/>
          <w:szCs w:val="28"/>
          <w:highlight w:val="none"/>
        </w:rPr>
        <w:t>）；</w:t>
      </w:r>
    </w:p>
    <w:p w14:paraId="1EF52FE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pacing w:val="-1"/>
          <w:sz w:val="28"/>
          <w:szCs w:val="28"/>
          <w:highlight w:val="none"/>
        </w:rPr>
        <w:t>以上企业，不属于大企业的分支机构，不存在控股股东为大企业的情形，也不存在与大企业的负责人为同一人的情形。</w:t>
      </w:r>
    </w:p>
    <w:p w14:paraId="630E2D7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pacing w:val="-1"/>
          <w:sz w:val="28"/>
          <w:szCs w:val="28"/>
          <w:highlight w:val="none"/>
        </w:rPr>
        <w:t>本企业对上述声明内容的真实性负责。如有虚假，将依</w:t>
      </w:r>
      <w:r>
        <w:rPr>
          <w:rFonts w:hint="eastAsia" w:ascii="宋体" w:hAnsi="宋体" w:eastAsia="宋体" w:cs="宋体"/>
          <w:color w:val="auto"/>
          <w:sz w:val="28"/>
          <w:szCs w:val="28"/>
          <w:highlight w:val="none"/>
        </w:rPr>
        <w:t>法承担相应责任。</w:t>
      </w:r>
    </w:p>
    <w:p w14:paraId="3749E7A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企业名称（盖章）：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日　　　期：</w:t>
      </w:r>
    </w:p>
    <w:p w14:paraId="256574D5">
      <w:pPr>
        <w:pageBreakBefore w:val="0"/>
        <w:kinsoku/>
        <w:wordWrap/>
        <w:overflowPunct/>
        <w:topLinePunct w:val="0"/>
        <w:autoSpaceDE/>
        <w:autoSpaceDN/>
        <w:bidi w:val="0"/>
        <w:adjustRightInd/>
        <w:snapToGrid/>
        <w:spacing w:line="360" w:lineRule="auto"/>
        <w:ind w:firstLine="4600"/>
        <w:textAlignment w:val="auto"/>
        <w:rPr>
          <w:rFonts w:hint="eastAsia" w:ascii="宋体" w:hAnsi="宋体" w:eastAsia="宋体" w:cs="宋体"/>
          <w:color w:val="auto"/>
          <w:sz w:val="20"/>
          <w:szCs w:val="20"/>
          <w:highlight w:val="none"/>
        </w:rPr>
      </w:pPr>
    </w:p>
    <w:p w14:paraId="4DC57E1B">
      <w:pPr>
        <w:pageBreakBefore w:val="0"/>
        <w:kinsoku/>
        <w:wordWrap/>
        <w:overflowPunct/>
        <w:topLinePunct w:val="0"/>
        <w:autoSpaceDE/>
        <w:autoSpaceDN/>
        <w:bidi w:val="0"/>
        <w:adjustRightInd/>
        <w:snapToGrid/>
        <w:spacing w:line="360" w:lineRule="auto"/>
        <w:ind w:right="567"/>
        <w:textAlignment w:val="auto"/>
        <w:rPr>
          <w:rFonts w:hint="eastAsia" w:ascii="宋体" w:hAnsi="宋体" w:eastAsia="宋体" w:cs="宋体"/>
          <w:b/>
          <w:bCs/>
          <w:color w:val="auto"/>
          <w:sz w:val="22"/>
          <w:szCs w:val="28"/>
          <w:highlight w:val="none"/>
        </w:rPr>
      </w:pPr>
      <w:r>
        <w:rPr>
          <w:rFonts w:hint="eastAsia" w:ascii="宋体" w:hAnsi="宋体" w:eastAsia="宋体" w:cs="宋体"/>
          <w:b/>
          <w:bCs/>
          <w:color w:val="auto"/>
          <w:sz w:val="22"/>
          <w:szCs w:val="28"/>
          <w:highlight w:val="none"/>
        </w:rPr>
        <w:t>十、残疾人福利性单位声明函格式（如有）</w:t>
      </w:r>
    </w:p>
    <w:p w14:paraId="0A36D7FC">
      <w:pPr>
        <w:pageBreakBefore w:val="0"/>
        <w:kinsoku/>
        <w:wordWrap/>
        <w:overflowPunct/>
        <w:topLinePunct w:val="0"/>
        <w:autoSpaceDE/>
        <w:autoSpaceDN/>
        <w:bidi w:val="0"/>
        <w:adjustRightInd/>
        <w:snapToGrid/>
        <w:spacing w:before="50" w:after="50" w:line="360" w:lineRule="auto"/>
        <w:ind w:left="210" w:right="567" w:firstLine="562"/>
        <w:jc w:val="center"/>
        <w:textAlignment w:val="auto"/>
        <w:rPr>
          <w:rFonts w:hint="eastAsia" w:ascii="宋体" w:hAnsi="宋体" w:eastAsia="宋体" w:cs="宋体"/>
          <w:color w:val="auto"/>
          <w:highlight w:val="none"/>
        </w:rPr>
      </w:pPr>
      <w:r>
        <w:rPr>
          <w:rFonts w:hint="eastAsia" w:ascii="宋体" w:hAnsi="宋体" w:eastAsia="宋体" w:cs="宋体"/>
          <w:b/>
          <w:bCs/>
          <w:color w:val="auto"/>
          <w:sz w:val="28"/>
          <w:szCs w:val="28"/>
          <w:highlight w:val="none"/>
        </w:rPr>
        <w:t>残疾人福利性单位声明函</w:t>
      </w:r>
    </w:p>
    <w:p w14:paraId="154688D2">
      <w:pPr>
        <w:pageBreakBefore w:val="0"/>
        <w:kinsoku/>
        <w:wordWrap/>
        <w:overflowPunct/>
        <w:topLinePunct w:val="0"/>
        <w:autoSpaceDE/>
        <w:autoSpaceDN/>
        <w:bidi w:val="0"/>
        <w:adjustRightInd/>
        <w:snapToGrid/>
        <w:spacing w:line="360" w:lineRule="auto"/>
        <w:ind w:right="567"/>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                 ：</w:t>
      </w:r>
    </w:p>
    <w:p w14:paraId="3C122D97">
      <w:pPr>
        <w:pStyle w:val="214"/>
        <w:pageBreakBefore w:val="0"/>
        <w:kinsoku/>
        <w:wordWrap/>
        <w:overflowPunct/>
        <w:topLinePunct w:val="0"/>
        <w:autoSpaceDE/>
        <w:autoSpaceDN/>
        <w:bidi w:val="0"/>
        <w:adjustRightInd/>
        <w:snapToGrid/>
        <w:spacing w:line="360" w:lineRule="auto"/>
        <w:ind w:left="1260"/>
        <w:textAlignment w:val="auto"/>
        <w:rPr>
          <w:rFonts w:hint="eastAsia" w:ascii="宋体" w:hAnsi="宋体" w:eastAsia="宋体" w:cs="宋体"/>
          <w:color w:val="auto"/>
          <w:sz w:val="28"/>
          <w:szCs w:val="28"/>
          <w:highlight w:val="none"/>
        </w:rPr>
      </w:pPr>
    </w:p>
    <w:p w14:paraId="342DBB85">
      <w:pPr>
        <w:pageBreakBefore w:val="0"/>
        <w:kinsoku/>
        <w:wordWrap/>
        <w:overflowPunct/>
        <w:topLinePunct w:val="0"/>
        <w:autoSpaceDE/>
        <w:autoSpaceDN/>
        <w:bidi w:val="0"/>
        <w:adjustRightInd/>
        <w:snapToGrid/>
        <w:spacing w:line="360" w:lineRule="auto"/>
        <w:ind w:left="210" w:right="567" w:firstLine="42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我单位</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（供应商名称）郑重声明，本公司为残疾人福利性单位。即，本单位同时满足以下条件：</w:t>
      </w:r>
    </w:p>
    <w:p w14:paraId="1AAC5E92">
      <w:pPr>
        <w:pageBreakBefore w:val="0"/>
        <w:kinsoku/>
        <w:wordWrap/>
        <w:overflowPunct/>
        <w:topLinePunct w:val="0"/>
        <w:autoSpaceDE/>
        <w:autoSpaceDN/>
        <w:bidi w:val="0"/>
        <w:adjustRightInd/>
        <w:snapToGrid/>
        <w:spacing w:line="360" w:lineRule="auto"/>
        <w:ind w:left="210" w:right="567" w:firstLine="42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1.安置的残疾人占本单位在职职工人数的比例不低于25%（含25%），并且安置的残疾人人数不少于10人（含10人）；</w:t>
      </w:r>
    </w:p>
    <w:p w14:paraId="72AF91A4">
      <w:pPr>
        <w:pageBreakBefore w:val="0"/>
        <w:kinsoku/>
        <w:wordWrap/>
        <w:overflowPunct/>
        <w:topLinePunct w:val="0"/>
        <w:autoSpaceDE/>
        <w:autoSpaceDN/>
        <w:bidi w:val="0"/>
        <w:adjustRightInd/>
        <w:snapToGrid/>
        <w:spacing w:line="360" w:lineRule="auto"/>
        <w:ind w:left="210" w:right="567" w:firstLine="42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2.依法与安置的每位残疾人签订了一年以上（含一年）的劳动合同或服务协议；</w:t>
      </w:r>
    </w:p>
    <w:p w14:paraId="35759D45">
      <w:pPr>
        <w:pageBreakBefore w:val="0"/>
        <w:kinsoku/>
        <w:wordWrap/>
        <w:overflowPunct/>
        <w:topLinePunct w:val="0"/>
        <w:autoSpaceDE/>
        <w:autoSpaceDN/>
        <w:bidi w:val="0"/>
        <w:adjustRightInd/>
        <w:snapToGrid/>
        <w:spacing w:line="360" w:lineRule="auto"/>
        <w:ind w:left="210" w:right="567" w:firstLine="42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3.为安置的每位残疾人按月足额缴纳了基本养老保险、基本医疗保险、失业保险、工伤保险和生育保险等社会保险费；</w:t>
      </w:r>
    </w:p>
    <w:p w14:paraId="3CE95BDA">
      <w:pPr>
        <w:pageBreakBefore w:val="0"/>
        <w:kinsoku/>
        <w:wordWrap/>
        <w:overflowPunct/>
        <w:topLinePunct w:val="0"/>
        <w:autoSpaceDE/>
        <w:autoSpaceDN/>
        <w:bidi w:val="0"/>
        <w:adjustRightInd/>
        <w:snapToGrid/>
        <w:spacing w:line="360" w:lineRule="auto"/>
        <w:ind w:left="210" w:right="567" w:firstLine="42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4.通过银行等金融机构向安置的每位残疾人，按月支付了不低于单位所在区县适用的经省级人民政府批准的月最低工资标准的工资；</w:t>
      </w:r>
    </w:p>
    <w:p w14:paraId="33022D65">
      <w:pPr>
        <w:pageBreakBefore w:val="0"/>
        <w:kinsoku/>
        <w:wordWrap/>
        <w:overflowPunct/>
        <w:topLinePunct w:val="0"/>
        <w:autoSpaceDE/>
        <w:autoSpaceDN/>
        <w:bidi w:val="0"/>
        <w:adjustRightInd/>
        <w:snapToGrid/>
        <w:spacing w:line="360" w:lineRule="auto"/>
        <w:ind w:left="210" w:right="567" w:firstLine="42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5.本单位参加</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（项目编号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（项目名称）采购活动提供本单位承担的服务。</w:t>
      </w:r>
    </w:p>
    <w:p w14:paraId="3BB7AE43">
      <w:pPr>
        <w:pageBreakBefore w:val="0"/>
        <w:kinsoku/>
        <w:wordWrap/>
        <w:overflowPunct/>
        <w:topLinePunct w:val="0"/>
        <w:autoSpaceDE/>
        <w:autoSpaceDN/>
        <w:bidi w:val="0"/>
        <w:adjustRightInd/>
        <w:snapToGrid/>
        <w:spacing w:line="360" w:lineRule="auto"/>
        <w:ind w:left="210" w:right="567" w:firstLine="42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本单位对上述声明的真实性负责。如有虚假，将依法承担相应责任。</w:t>
      </w:r>
    </w:p>
    <w:p w14:paraId="5A71F4DB">
      <w:pPr>
        <w:pageBreakBefore w:val="0"/>
        <w:kinsoku/>
        <w:wordWrap/>
        <w:overflowPunct/>
        <w:topLinePunct w:val="0"/>
        <w:autoSpaceDE/>
        <w:autoSpaceDN/>
        <w:bidi w:val="0"/>
        <w:adjustRightInd/>
        <w:snapToGrid/>
        <w:spacing w:line="360" w:lineRule="auto"/>
        <w:ind w:left="210" w:right="567" w:firstLine="420"/>
        <w:textAlignment w:val="auto"/>
        <w:rPr>
          <w:rFonts w:hint="eastAsia" w:ascii="宋体" w:hAnsi="宋体" w:eastAsia="宋体" w:cs="宋体"/>
          <w:color w:val="auto"/>
          <w:sz w:val="28"/>
          <w:szCs w:val="28"/>
          <w:highlight w:val="none"/>
        </w:rPr>
      </w:pPr>
    </w:p>
    <w:p w14:paraId="6C8A94FA">
      <w:pPr>
        <w:pageBreakBefore w:val="0"/>
        <w:kinsoku/>
        <w:wordWrap/>
        <w:overflowPunct/>
        <w:topLinePunct w:val="0"/>
        <w:autoSpaceDE/>
        <w:autoSpaceDN/>
        <w:bidi w:val="0"/>
        <w:adjustRightInd/>
        <w:snapToGrid/>
        <w:spacing w:line="360" w:lineRule="auto"/>
        <w:ind w:left="210" w:right="567" w:firstLine="42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单位名称：（盖章）</w:t>
      </w:r>
    </w:p>
    <w:p w14:paraId="085FF7B6">
      <w:pPr>
        <w:pageBreakBefore w:val="0"/>
        <w:kinsoku/>
        <w:wordWrap/>
        <w:overflowPunct/>
        <w:topLinePunct w:val="0"/>
        <w:autoSpaceDE/>
        <w:autoSpaceDN/>
        <w:bidi w:val="0"/>
        <w:adjustRightInd/>
        <w:snapToGrid/>
        <w:spacing w:line="360" w:lineRule="auto"/>
        <w:ind w:left="210" w:right="567"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日　　期：</w:t>
      </w:r>
    </w:p>
    <w:p w14:paraId="2BA8030F">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rPr>
      </w:pPr>
    </w:p>
    <w:p w14:paraId="52B6B783">
      <w:pPr>
        <w:pageBreakBefore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highlight w:val="none"/>
        </w:rPr>
      </w:pPr>
    </w:p>
    <w:p w14:paraId="0F60D2A5">
      <w:pPr>
        <w:pageBreakBefore w:val="0"/>
        <w:kinsoku/>
        <w:wordWrap/>
        <w:overflowPunct/>
        <w:topLinePunct w:val="0"/>
        <w:autoSpaceDE/>
        <w:autoSpaceDN/>
        <w:bidi w:val="0"/>
        <w:adjustRightInd/>
        <w:snapToGrid/>
        <w:spacing w:line="360" w:lineRule="auto"/>
        <w:ind w:left="630" w:right="567"/>
        <w:textAlignment w:val="auto"/>
        <w:rPr>
          <w:rFonts w:hint="eastAsia" w:ascii="宋体" w:hAnsi="宋体" w:eastAsia="宋体" w:cs="宋体"/>
          <w:b/>
          <w:color w:val="auto"/>
          <w:sz w:val="22"/>
          <w:szCs w:val="28"/>
          <w:highlight w:val="none"/>
        </w:rPr>
      </w:pPr>
      <w:r>
        <w:rPr>
          <w:rFonts w:hint="eastAsia" w:ascii="宋体" w:hAnsi="宋体" w:eastAsia="宋体" w:cs="宋体"/>
          <w:b/>
          <w:color w:val="auto"/>
          <w:sz w:val="22"/>
          <w:szCs w:val="28"/>
          <w:highlight w:val="none"/>
        </w:rPr>
        <w:t>十一、监狱企业的证明文件（如有）</w:t>
      </w:r>
    </w:p>
    <w:p w14:paraId="0DCBD7EF">
      <w:pPr>
        <w:pStyle w:val="193"/>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rPr>
      </w:pPr>
    </w:p>
    <w:p w14:paraId="55909E2B">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rPr>
      </w:pPr>
    </w:p>
    <w:p w14:paraId="60B54525">
      <w:pPr>
        <w:pageBreakBefore w:val="0"/>
        <w:kinsoku/>
        <w:wordWrap/>
        <w:overflowPunct/>
        <w:topLinePunct w:val="0"/>
        <w:autoSpaceDE/>
        <w:autoSpaceDN/>
        <w:bidi w:val="0"/>
        <w:adjustRightInd/>
        <w:snapToGrid/>
        <w:spacing w:line="360" w:lineRule="auto"/>
        <w:ind w:left="210" w:right="567" w:firstLine="422"/>
        <w:textAlignment w:val="auto"/>
        <w:rPr>
          <w:rFonts w:hint="eastAsia" w:ascii="宋体" w:hAnsi="宋体" w:eastAsia="宋体" w:cs="宋体"/>
          <w:b/>
          <w:bCs/>
          <w:color w:val="auto"/>
          <w:highlight w:val="none"/>
        </w:rPr>
      </w:pPr>
    </w:p>
    <w:p w14:paraId="32ADACCF">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rPr>
      </w:pPr>
    </w:p>
    <w:p w14:paraId="3C0CA881">
      <w:pPr>
        <w:pStyle w:val="214"/>
        <w:pageBreakBefore w:val="0"/>
        <w:kinsoku/>
        <w:wordWrap/>
        <w:overflowPunct/>
        <w:topLinePunct w:val="0"/>
        <w:autoSpaceDE/>
        <w:autoSpaceDN/>
        <w:bidi w:val="0"/>
        <w:adjustRightInd/>
        <w:snapToGrid/>
        <w:spacing w:line="360" w:lineRule="auto"/>
        <w:ind w:left="1260"/>
        <w:textAlignment w:val="auto"/>
        <w:rPr>
          <w:rFonts w:hint="eastAsia" w:ascii="宋体" w:hAnsi="宋体" w:eastAsia="宋体" w:cs="宋体"/>
          <w:color w:val="auto"/>
          <w:highlight w:val="none"/>
        </w:rPr>
      </w:pPr>
    </w:p>
    <w:p w14:paraId="5FEF53DD">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rPr>
        <w:sectPr>
          <w:pgSz w:w="11906" w:h="16838"/>
          <w:pgMar w:top="2098" w:right="1474" w:bottom="1984" w:left="1587" w:header="851" w:footer="992" w:gutter="0"/>
          <w:cols w:space="1701" w:num="1"/>
          <w:docGrid w:linePitch="360" w:charSpace="0"/>
        </w:sectPr>
      </w:pPr>
    </w:p>
    <w:p w14:paraId="340419BD">
      <w:pPr>
        <w:pageBreakBefore w:val="0"/>
        <w:widowControl/>
        <w:kinsoku/>
        <w:wordWrap/>
        <w:overflowPunct/>
        <w:topLinePunct w:val="0"/>
        <w:autoSpaceDE/>
        <w:autoSpaceDN/>
        <w:bidi w:val="0"/>
        <w:adjustRightInd/>
        <w:snapToGrid/>
        <w:spacing w:line="360" w:lineRule="auto"/>
        <w:ind w:left="210" w:right="567" w:firstLine="442"/>
        <w:textAlignment w:val="auto"/>
        <w:rPr>
          <w:rFonts w:hint="eastAsia" w:ascii="宋体" w:hAnsi="宋体" w:eastAsia="宋体" w:cs="宋体"/>
          <w:b/>
          <w:bCs/>
          <w:color w:val="auto"/>
          <w:sz w:val="22"/>
          <w:szCs w:val="28"/>
          <w:highlight w:val="none"/>
        </w:rPr>
      </w:pPr>
      <w:r>
        <w:rPr>
          <w:rFonts w:hint="eastAsia" w:ascii="宋体" w:hAnsi="宋体" w:eastAsia="宋体" w:cs="宋体"/>
          <w:b/>
          <w:bCs/>
          <w:color w:val="auto"/>
          <w:sz w:val="22"/>
          <w:szCs w:val="28"/>
          <w:highlight w:val="none"/>
        </w:rPr>
        <w:t>十二、无重大违法记录声明格式</w:t>
      </w:r>
    </w:p>
    <w:p w14:paraId="272F0E27">
      <w:pPr>
        <w:pageBreakBefore w:val="0"/>
        <w:widowControl/>
        <w:kinsoku/>
        <w:wordWrap/>
        <w:overflowPunct/>
        <w:topLinePunct w:val="0"/>
        <w:autoSpaceDE/>
        <w:autoSpaceDN/>
        <w:bidi w:val="0"/>
        <w:adjustRightInd/>
        <w:snapToGrid/>
        <w:spacing w:line="360" w:lineRule="auto"/>
        <w:ind w:left="210" w:right="567" w:firstLine="422"/>
        <w:textAlignment w:val="auto"/>
        <w:rPr>
          <w:rFonts w:hint="eastAsia" w:ascii="宋体" w:hAnsi="宋体" w:eastAsia="宋体" w:cs="宋体"/>
          <w:b/>
          <w:color w:val="auto"/>
          <w:highlight w:val="none"/>
        </w:rPr>
      </w:pPr>
    </w:p>
    <w:p w14:paraId="7CEFED42">
      <w:pPr>
        <w:pageBreakBefore w:val="0"/>
        <w:kinsoku/>
        <w:wordWrap/>
        <w:overflowPunct/>
        <w:topLinePunct w:val="0"/>
        <w:autoSpaceDE/>
        <w:autoSpaceDN/>
        <w:bidi w:val="0"/>
        <w:adjustRightInd/>
        <w:snapToGrid/>
        <w:spacing w:before="50" w:after="50" w:line="360" w:lineRule="auto"/>
        <w:ind w:left="210" w:right="567" w:firstLine="562"/>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无重大违法记录声明</w:t>
      </w:r>
    </w:p>
    <w:p w14:paraId="72F3E370">
      <w:pPr>
        <w:pageBreakBefore w:val="0"/>
        <w:kinsoku/>
        <w:wordWrap/>
        <w:overflowPunct/>
        <w:topLinePunct w:val="0"/>
        <w:autoSpaceDE/>
        <w:autoSpaceDN/>
        <w:bidi w:val="0"/>
        <w:adjustRightInd/>
        <w:snapToGrid/>
        <w:spacing w:line="360" w:lineRule="auto"/>
        <w:ind w:right="567"/>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              ：</w:t>
      </w:r>
    </w:p>
    <w:p w14:paraId="39C8B54D">
      <w:pPr>
        <w:pStyle w:val="214"/>
        <w:pageBreakBefore w:val="0"/>
        <w:kinsoku/>
        <w:wordWrap/>
        <w:overflowPunct/>
        <w:topLinePunct w:val="0"/>
        <w:autoSpaceDE/>
        <w:autoSpaceDN/>
        <w:bidi w:val="0"/>
        <w:adjustRightInd/>
        <w:snapToGrid/>
        <w:spacing w:line="360" w:lineRule="auto"/>
        <w:ind w:left="1260"/>
        <w:textAlignment w:val="auto"/>
        <w:rPr>
          <w:rFonts w:hint="eastAsia" w:ascii="宋体" w:hAnsi="宋体" w:eastAsia="宋体" w:cs="宋体"/>
          <w:color w:val="auto"/>
          <w:highlight w:val="none"/>
        </w:rPr>
      </w:pPr>
    </w:p>
    <w:p w14:paraId="2AA399F5">
      <w:pPr>
        <w:pageBreakBefore w:val="0"/>
        <w:kinsoku/>
        <w:wordWrap/>
        <w:overflowPunct/>
        <w:topLinePunct w:val="0"/>
        <w:autoSpaceDE/>
        <w:autoSpaceDN/>
        <w:bidi w:val="0"/>
        <w:adjustRightInd/>
        <w:snapToGrid/>
        <w:spacing w:line="360" w:lineRule="auto"/>
        <w:ind w:left="210" w:right="567" w:firstLine="420"/>
        <w:textAlignment w:val="auto"/>
        <w:rPr>
          <w:rFonts w:hint="eastAsia" w:ascii="宋体" w:hAnsi="宋体" w:eastAsia="宋体" w:cs="宋体"/>
          <w:color w:val="auto"/>
          <w:sz w:val="28"/>
          <w:szCs w:val="28"/>
          <w:highlight w:val="none"/>
        </w:rPr>
      </w:pPr>
      <w:r>
        <w:rPr>
          <w:rFonts w:hint="eastAsia" w:ascii="宋体" w:hAnsi="宋体" w:eastAsia="宋体" w:cs="宋体"/>
          <w:color w:val="auto"/>
          <w:highlight w:val="none"/>
        </w:rPr>
        <w:t xml:space="preserve">   </w:t>
      </w:r>
      <w:r>
        <w:rPr>
          <w:rFonts w:hint="eastAsia" w:ascii="宋体" w:hAnsi="宋体" w:eastAsia="宋体" w:cs="宋体"/>
          <w:color w:val="auto"/>
          <w:sz w:val="28"/>
          <w:szCs w:val="28"/>
          <w:highlight w:val="none"/>
        </w:rPr>
        <w:t xml:space="preserve"> 我单位</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（供应商名称）郑重声明：</w:t>
      </w:r>
    </w:p>
    <w:p w14:paraId="39981936">
      <w:pPr>
        <w:pageBreakBefore w:val="0"/>
        <w:kinsoku/>
        <w:wordWrap/>
        <w:overflowPunct/>
        <w:topLinePunct w:val="0"/>
        <w:autoSpaceDE/>
        <w:autoSpaceDN/>
        <w:bidi w:val="0"/>
        <w:adjustRightInd/>
        <w:snapToGrid/>
        <w:spacing w:line="360" w:lineRule="auto"/>
        <w:ind w:left="210" w:right="567" w:firstLine="42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参加政府采购活动前3年内在经营活动中</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（在下划线上如实填写：有或没有）重大违法记录。</w:t>
      </w:r>
    </w:p>
    <w:p w14:paraId="5E9DDF04">
      <w:pPr>
        <w:pageBreakBefore w:val="0"/>
        <w:kinsoku/>
        <w:wordWrap/>
        <w:overflowPunct/>
        <w:topLinePunct w:val="0"/>
        <w:autoSpaceDE/>
        <w:autoSpaceDN/>
        <w:bidi w:val="0"/>
        <w:adjustRightInd/>
        <w:snapToGrid/>
        <w:spacing w:line="360" w:lineRule="auto"/>
        <w:ind w:left="210" w:right="567" w:firstLine="42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（说明：政府采购法第二十二条第一款第五项所称重大违法记录，是指供应商因违法经营受到刑事处罚或者责令停产停业、吊销许可证或者执照、较大数额罚款等行政处罚。）</w:t>
      </w:r>
    </w:p>
    <w:p w14:paraId="2A727E89">
      <w:pPr>
        <w:pageBreakBefore w:val="0"/>
        <w:kinsoku/>
        <w:wordWrap/>
        <w:overflowPunct/>
        <w:topLinePunct w:val="0"/>
        <w:autoSpaceDE/>
        <w:autoSpaceDN/>
        <w:bidi w:val="0"/>
        <w:adjustRightInd/>
        <w:snapToGrid/>
        <w:spacing w:line="360" w:lineRule="auto"/>
        <w:ind w:left="210" w:right="567" w:firstLine="42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p>
    <w:p w14:paraId="379A7B32">
      <w:pPr>
        <w:pageBreakBefore w:val="0"/>
        <w:kinsoku/>
        <w:wordWrap/>
        <w:overflowPunct/>
        <w:topLinePunct w:val="0"/>
        <w:autoSpaceDE/>
        <w:autoSpaceDN/>
        <w:bidi w:val="0"/>
        <w:adjustRightInd/>
        <w:snapToGrid/>
        <w:spacing w:line="360" w:lineRule="auto"/>
        <w:ind w:left="210" w:right="567" w:firstLine="42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声明人：（公章）</w:t>
      </w:r>
    </w:p>
    <w:p w14:paraId="3D9C8B76">
      <w:pPr>
        <w:pageBreakBefore w:val="0"/>
        <w:kinsoku/>
        <w:wordWrap/>
        <w:overflowPunct/>
        <w:topLinePunct w:val="0"/>
        <w:autoSpaceDE/>
        <w:autoSpaceDN/>
        <w:bidi w:val="0"/>
        <w:adjustRightInd/>
        <w:snapToGrid/>
        <w:spacing w:line="360" w:lineRule="auto"/>
        <w:ind w:right="567"/>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  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4133B452">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rPr>
      </w:pPr>
    </w:p>
    <w:p w14:paraId="7FB41660">
      <w:pPr>
        <w:pStyle w:val="193"/>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rPr>
        <w:sectPr>
          <w:pgSz w:w="11906" w:h="16838"/>
          <w:pgMar w:top="2098" w:right="1474" w:bottom="1984" w:left="1587" w:header="851" w:footer="992" w:gutter="0"/>
          <w:cols w:space="1701" w:num="1"/>
          <w:docGrid w:linePitch="360" w:charSpace="0"/>
        </w:sectPr>
      </w:pPr>
    </w:p>
    <w:p w14:paraId="3D181DBB">
      <w:pPr>
        <w:pageBreakBefore w:val="0"/>
        <w:kinsoku/>
        <w:wordWrap/>
        <w:overflowPunct/>
        <w:topLinePunct w:val="0"/>
        <w:autoSpaceDE/>
        <w:autoSpaceDN/>
        <w:bidi w:val="0"/>
        <w:adjustRightInd/>
        <w:snapToGrid/>
        <w:spacing w:line="360" w:lineRule="auto"/>
        <w:ind w:right="567"/>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十三、具备履行合同所必需的设备和专业技术能力的声明格式</w:t>
      </w:r>
    </w:p>
    <w:p w14:paraId="4CEB1594">
      <w:pPr>
        <w:pStyle w:val="214"/>
        <w:pageBreakBefore w:val="0"/>
        <w:kinsoku/>
        <w:wordWrap/>
        <w:overflowPunct/>
        <w:topLinePunct w:val="0"/>
        <w:autoSpaceDE/>
        <w:autoSpaceDN/>
        <w:bidi w:val="0"/>
        <w:adjustRightInd/>
        <w:snapToGrid/>
        <w:spacing w:line="360" w:lineRule="auto"/>
        <w:ind w:left="1260"/>
        <w:textAlignment w:val="auto"/>
        <w:rPr>
          <w:rFonts w:hint="eastAsia" w:ascii="宋体" w:hAnsi="宋体" w:eastAsia="宋体" w:cs="宋体"/>
          <w:color w:val="auto"/>
          <w:highlight w:val="none"/>
        </w:rPr>
      </w:pPr>
    </w:p>
    <w:p w14:paraId="59FB9D2F">
      <w:pPr>
        <w:pageBreakBefore w:val="0"/>
        <w:kinsoku/>
        <w:wordWrap/>
        <w:overflowPunct/>
        <w:topLinePunct w:val="0"/>
        <w:autoSpaceDE/>
        <w:autoSpaceDN/>
        <w:bidi w:val="0"/>
        <w:adjustRightInd/>
        <w:snapToGrid/>
        <w:spacing w:line="360" w:lineRule="auto"/>
        <w:ind w:left="210" w:right="567" w:firstLine="720"/>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36"/>
          <w:szCs w:val="36"/>
          <w:highlight w:val="none"/>
        </w:rPr>
        <w:t xml:space="preserve"> </w:t>
      </w:r>
      <w:r>
        <w:rPr>
          <w:rFonts w:hint="eastAsia" w:ascii="宋体" w:hAnsi="宋体" w:eastAsia="宋体" w:cs="宋体"/>
          <w:b/>
          <w:bCs/>
          <w:color w:val="auto"/>
          <w:sz w:val="28"/>
          <w:szCs w:val="28"/>
          <w:highlight w:val="none"/>
        </w:rPr>
        <w:t xml:space="preserve"> 具备履行合同所必需的设备和专业技术能力的声明格式</w:t>
      </w:r>
    </w:p>
    <w:p w14:paraId="36AB438C">
      <w:pPr>
        <w:pageBreakBefore w:val="0"/>
        <w:kinsoku/>
        <w:wordWrap/>
        <w:overflowPunct/>
        <w:topLinePunct w:val="0"/>
        <w:autoSpaceDE/>
        <w:autoSpaceDN/>
        <w:bidi w:val="0"/>
        <w:adjustRightInd/>
        <w:snapToGrid/>
        <w:spacing w:line="360" w:lineRule="auto"/>
        <w:ind w:right="567"/>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               ：</w:t>
      </w:r>
    </w:p>
    <w:p w14:paraId="556BF72C">
      <w:pPr>
        <w:pageBreakBefore w:val="0"/>
        <w:kinsoku/>
        <w:wordWrap/>
        <w:overflowPunct/>
        <w:topLinePunct w:val="0"/>
        <w:autoSpaceDE/>
        <w:autoSpaceDN/>
        <w:bidi w:val="0"/>
        <w:adjustRightInd/>
        <w:snapToGrid/>
        <w:spacing w:line="360" w:lineRule="auto"/>
        <w:ind w:left="210" w:right="567" w:firstLine="42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我单位</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（供应商名称）郑重声明：</w:t>
      </w:r>
    </w:p>
    <w:p w14:paraId="5C148EAE">
      <w:pPr>
        <w:pageBreakBefore w:val="0"/>
        <w:kinsoku/>
        <w:wordWrap/>
        <w:overflowPunct/>
        <w:topLinePunct w:val="0"/>
        <w:autoSpaceDE/>
        <w:autoSpaceDN/>
        <w:bidi w:val="0"/>
        <w:adjustRightInd/>
        <w:snapToGrid/>
        <w:spacing w:line="360" w:lineRule="auto"/>
        <w:ind w:left="210" w:right="567" w:firstLine="42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我公司具备履行本项采购合同所必需的设备和专业技术能力，为履行本项采购合同我单位具备如下主要设备和主要专业技术能力：</w:t>
      </w:r>
    </w:p>
    <w:p w14:paraId="37C2C5A5">
      <w:pPr>
        <w:pageBreakBefore w:val="0"/>
        <w:kinsoku/>
        <w:wordWrap/>
        <w:overflowPunct/>
        <w:topLinePunct w:val="0"/>
        <w:autoSpaceDE/>
        <w:autoSpaceDN/>
        <w:bidi w:val="0"/>
        <w:adjustRightInd/>
        <w:snapToGrid/>
        <w:spacing w:line="360" w:lineRule="auto"/>
        <w:ind w:left="210" w:right="567" w:firstLine="42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主要设备有：</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 如有 )</w:t>
      </w:r>
    </w:p>
    <w:p w14:paraId="145EB165">
      <w:pPr>
        <w:pageBreakBefore w:val="0"/>
        <w:kinsoku/>
        <w:wordWrap/>
        <w:overflowPunct/>
        <w:topLinePunct w:val="0"/>
        <w:autoSpaceDE/>
        <w:autoSpaceDN/>
        <w:bidi w:val="0"/>
        <w:adjustRightInd/>
        <w:snapToGrid/>
        <w:spacing w:line="360" w:lineRule="auto"/>
        <w:ind w:left="210" w:right="567" w:firstLine="42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主要专业技术能力有：</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 如有 )</w:t>
      </w:r>
    </w:p>
    <w:p w14:paraId="330F6F94">
      <w:pPr>
        <w:pageBreakBefore w:val="0"/>
        <w:kinsoku/>
        <w:wordWrap/>
        <w:overflowPunct/>
        <w:topLinePunct w:val="0"/>
        <w:autoSpaceDE/>
        <w:autoSpaceDN/>
        <w:bidi w:val="0"/>
        <w:adjustRightInd/>
        <w:snapToGrid/>
        <w:spacing w:line="360" w:lineRule="auto"/>
        <w:ind w:left="210" w:right="567" w:firstLine="42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p>
    <w:p w14:paraId="4CAD24A1">
      <w:pPr>
        <w:pageBreakBefore w:val="0"/>
        <w:kinsoku/>
        <w:wordWrap/>
        <w:overflowPunct/>
        <w:topLinePunct w:val="0"/>
        <w:autoSpaceDE/>
        <w:autoSpaceDN/>
        <w:bidi w:val="0"/>
        <w:adjustRightInd/>
        <w:snapToGrid/>
        <w:spacing w:line="360" w:lineRule="auto"/>
        <w:ind w:left="210" w:right="567" w:firstLine="420"/>
        <w:textAlignment w:val="auto"/>
        <w:rPr>
          <w:rFonts w:hint="eastAsia" w:ascii="宋体" w:hAnsi="宋体" w:eastAsia="宋体" w:cs="宋体"/>
          <w:color w:val="auto"/>
          <w:sz w:val="28"/>
          <w:szCs w:val="28"/>
          <w:highlight w:val="none"/>
        </w:rPr>
      </w:pPr>
    </w:p>
    <w:p w14:paraId="7216BC86">
      <w:pPr>
        <w:pageBreakBefore w:val="0"/>
        <w:kinsoku/>
        <w:wordWrap/>
        <w:overflowPunct/>
        <w:topLinePunct w:val="0"/>
        <w:autoSpaceDE/>
        <w:autoSpaceDN/>
        <w:bidi w:val="0"/>
        <w:adjustRightInd/>
        <w:snapToGrid/>
        <w:spacing w:line="360" w:lineRule="auto"/>
        <w:ind w:left="210" w:right="567" w:firstLine="42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声明人：（公章）</w:t>
      </w:r>
    </w:p>
    <w:p w14:paraId="4E87AE4A">
      <w:pPr>
        <w:pageBreakBefore w:val="0"/>
        <w:kinsoku/>
        <w:wordWrap/>
        <w:overflowPunct/>
        <w:topLinePunct w:val="0"/>
        <w:autoSpaceDE/>
        <w:autoSpaceDN/>
        <w:bidi w:val="0"/>
        <w:adjustRightInd/>
        <w:snapToGrid/>
        <w:spacing w:line="360" w:lineRule="auto"/>
        <w:ind w:left="210" w:right="567" w:firstLine="480"/>
        <w:textAlignment w:val="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                                       </w:t>
      </w:r>
      <w:r>
        <w:rPr>
          <w:rFonts w:hint="eastAsia" w:ascii="宋体" w:hAnsi="宋体" w:eastAsia="宋体" w:cs="宋体"/>
          <w:color w:val="auto"/>
          <w:sz w:val="28"/>
          <w:szCs w:val="28"/>
          <w:highlight w:val="none"/>
        </w:rPr>
        <w:t>日 期：_____年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191ABFB0">
      <w:pPr>
        <w:pageBreakBefore w:val="0"/>
        <w:kinsoku/>
        <w:wordWrap/>
        <w:overflowPunct/>
        <w:topLinePunct w:val="0"/>
        <w:autoSpaceDE/>
        <w:autoSpaceDN/>
        <w:bidi w:val="0"/>
        <w:adjustRightInd/>
        <w:snapToGrid/>
        <w:spacing w:line="360" w:lineRule="auto"/>
        <w:ind w:right="567"/>
        <w:textAlignment w:val="auto"/>
        <w:rPr>
          <w:rFonts w:hint="eastAsia" w:ascii="宋体" w:hAnsi="宋体" w:eastAsia="宋体" w:cs="宋体"/>
          <w:color w:val="auto"/>
          <w:sz w:val="28"/>
          <w:szCs w:val="28"/>
          <w:highlight w:val="none"/>
        </w:rPr>
      </w:pPr>
    </w:p>
    <w:p w14:paraId="70B7CA9F">
      <w:pPr>
        <w:pageBreakBefore w:val="0"/>
        <w:kinsoku/>
        <w:wordWrap/>
        <w:overflowPunct/>
        <w:topLinePunct w:val="0"/>
        <w:autoSpaceDE/>
        <w:autoSpaceDN/>
        <w:bidi w:val="0"/>
        <w:adjustRightInd/>
        <w:snapToGrid/>
        <w:spacing w:line="360" w:lineRule="auto"/>
        <w:ind w:right="567"/>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十四、其他证明材料及文件（供应商认为需要提供的）；</w:t>
      </w:r>
    </w:p>
    <w:sectPr>
      <w:pgSz w:w="11906" w:h="16838"/>
      <w:pgMar w:top="2098" w:right="1474" w:bottom="1984" w:left="1587"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auto"/>
    <w:pitch w:val="default"/>
    <w:sig w:usb0="A00006FF" w:usb1="4000205B" w:usb2="0000001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KNL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panose1 w:val="020B0604020202020204"/>
    <w:charset w:val="86"/>
    <w:family w:val="auto"/>
    <w:pitch w:val="default"/>
    <w:sig w:usb0="FFFFFFFF" w:usb1="E9FFFFFF" w:usb2="0000003F" w:usb3="00000000" w:csb0="603F01FF" w:csb1="FFFF0000"/>
  </w:font>
  <w:font w:name="等线">
    <w:panose1 w:val="02010600030101010101"/>
    <w:charset w:val="86"/>
    <w:family w:val="auto"/>
    <w:pitch w:val="default"/>
    <w:sig w:usb0="A00002BF" w:usb1="38CF7CFA" w:usb2="00000016" w:usb3="00000000" w:csb0="0004000F" w:csb1="00000000"/>
  </w:font>
  <w:font w:name="AdobeSongStd-Light">
    <w:altName w:val="DejaVu Math TeX Gyre"/>
    <w:panose1 w:val="020B0503020202020204"/>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Helvetica">
    <w:altName w:val="Arial"/>
    <w:panose1 w:val="020B0604020202020204"/>
    <w:charset w:val="00"/>
    <w:family w:val="auto"/>
    <w:pitch w:val="default"/>
    <w:sig w:usb0="00000000" w:usb1="00000000" w:usb2="00000000" w:usb3="00000000" w:csb0="00000000" w:csb1="00000000"/>
  </w:font>
  <w:font w:name="方正黑体简体">
    <w:altName w:val="Arial Unicode MS"/>
    <w:panose1 w:val="03000509000000000000"/>
    <w:charset w:val="86"/>
    <w:family w:val="auto"/>
    <w:pitch w:val="default"/>
    <w:sig w:usb0="00000000" w:usb1="00000000" w:usb2="00000000" w:usb3="00000000" w:csb0="00040000" w:csb1="00000000"/>
  </w:font>
  <w:font w:name="Lucida Sans">
    <w:panose1 w:val="020B0602030504020204"/>
    <w:charset w:val="00"/>
    <w:family w:val="auto"/>
    <w:pitch w:val="default"/>
    <w:sig w:usb0="00000003" w:usb1="00000000" w:usb2="00000000" w:usb3="00000000" w:csb0="2000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8F18D0">
    <w:pPr>
      <w:widowControl w:val="0"/>
      <w:tabs>
        <w:tab w:val="center" w:pos="4819"/>
        <w:tab w:val="right" w:pos="8306"/>
      </w:tabs>
      <w:jc w:val="left"/>
      <w:rPr>
        <w:rFonts w:hint="default"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D04F56">
    <w:pPr>
      <w:pStyle w:val="220"/>
      <w:jc w:val="center"/>
      <w:rPr>
        <w:rFonts w:hint="eastAsia"/>
      </w:rPr>
    </w:pPr>
    <w:r>
      <w:fldChar w:fldCharType="begin"/>
    </w:r>
    <w:r>
      <w:instrText xml:space="preserve">PAGE   \* MERGEFORMAT</w:instrText>
    </w:r>
    <w:r>
      <w:fldChar w:fldCharType="separate"/>
    </w:r>
    <w:r>
      <w:rPr>
        <w:lang w:val="zh-CN"/>
      </w:rPr>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B0253F">
    <w:pPr>
      <w:widowControl w:val="0"/>
      <w:spacing w:after="0" w:line="240" w:lineRule="auto"/>
      <w:jc w:val="both"/>
      <w:rPr>
        <w:rFonts w:hint="default" w:ascii="Times New Roman" w:hAnsi="Times New Roman" w:eastAsia="宋体" w:cs="Times New Roman"/>
        <w:sz w:val="21"/>
        <w:szCs w:val="24"/>
        <w:lang w:val="en-US" w:eastAsia="zh-CN" w:bidi="ar-S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EF8A71">
    <w:pPr>
      <w:pStyle w:val="1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34FCE6"/>
    <w:multiLevelType w:val="singleLevel"/>
    <w:tmpl w:val="BE34FCE6"/>
    <w:lvl w:ilvl="0" w:tentative="0">
      <w:start w:val="1"/>
      <w:numFmt w:val="chineseCounting"/>
      <w:suff w:val="nothing"/>
      <w:lvlText w:val="%1、"/>
      <w:lvlJc w:val="left"/>
      <w:rPr>
        <w:rFonts w:hint="eastAsia"/>
      </w:rPr>
    </w:lvl>
  </w:abstractNum>
  <w:abstractNum w:abstractNumId="1">
    <w:nsid w:val="CF092B84"/>
    <w:multiLevelType w:val="multilevel"/>
    <w:tmpl w:val="CF092B84"/>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5"/>
      <w:numFmt w:val="chineseCounting"/>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8C82576"/>
    <w:multiLevelType w:val="singleLevel"/>
    <w:tmpl w:val="08C82576"/>
    <w:lvl w:ilvl="0" w:tentative="0">
      <w:start w:val="2"/>
      <w:numFmt w:val="decimal"/>
      <w:lvlText w:val="%1."/>
      <w:lvlJc w:val="left"/>
      <w:pPr>
        <w:tabs>
          <w:tab w:val="left" w:pos="312"/>
        </w:tabs>
      </w:pPr>
    </w:lvl>
  </w:abstractNum>
  <w:abstractNum w:abstractNumId="4">
    <w:nsid w:val="42B1AB66"/>
    <w:multiLevelType w:val="singleLevel"/>
    <w:tmpl w:val="42B1AB66"/>
    <w:lvl w:ilvl="0" w:tentative="0">
      <w:start w:val="1"/>
      <w:numFmt w:val="decimal"/>
      <w:suff w:val="nothing"/>
      <w:lvlText w:val="%1、"/>
      <w:lvlJc w:val="left"/>
      <w:pPr>
        <w:ind w:left="480" w:leftChars="0" w:firstLine="0" w:firstLineChars="0"/>
      </w:pPr>
    </w:lvl>
  </w:abstractNum>
  <w:abstractNum w:abstractNumId="5">
    <w:nsid w:val="4CB52F96"/>
    <w:multiLevelType w:val="singleLevel"/>
    <w:tmpl w:val="4CB52F96"/>
    <w:lvl w:ilvl="0" w:tentative="0">
      <w:start w:val="2"/>
      <w:numFmt w:val="chineseCounting"/>
      <w:suff w:val="nothing"/>
      <w:lvlText w:val="（%1）"/>
      <w:lvlJc w:val="left"/>
      <w:rPr>
        <w:rFonts w:hint="eastAsia"/>
      </w:rPr>
    </w:lvl>
  </w:abstractNum>
  <w:abstractNum w:abstractNumId="6">
    <w:nsid w:val="59ADCABA"/>
    <w:multiLevelType w:val="multilevel"/>
    <w:tmpl w:val="59ADCABA"/>
    <w:lvl w:ilvl="0" w:tentative="0">
      <w:start w:val="9"/>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5"/>
  </w:num>
  <w:num w:numId="4">
    <w:abstractNumId w:val="4"/>
  </w:num>
  <w:num w:numId="5">
    <w:abstractNumId w:val="2"/>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endnotePr>
    <w:numFmt w:val="decimal"/>
  </w:end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B48E1"/>
    <w:rsid w:val="00CF5500"/>
    <w:rsid w:val="00EF5BA2"/>
    <w:rsid w:val="00F907CF"/>
    <w:rsid w:val="01195DBB"/>
    <w:rsid w:val="014F03EF"/>
    <w:rsid w:val="01747E56"/>
    <w:rsid w:val="027F2F56"/>
    <w:rsid w:val="02A93B2F"/>
    <w:rsid w:val="036363D4"/>
    <w:rsid w:val="036F2FCB"/>
    <w:rsid w:val="03C84E67"/>
    <w:rsid w:val="04877EA0"/>
    <w:rsid w:val="04D75523"/>
    <w:rsid w:val="04F50186"/>
    <w:rsid w:val="052A53FB"/>
    <w:rsid w:val="058A7C48"/>
    <w:rsid w:val="05E732EC"/>
    <w:rsid w:val="062E4A77"/>
    <w:rsid w:val="06824DC3"/>
    <w:rsid w:val="0697383C"/>
    <w:rsid w:val="06DB44D3"/>
    <w:rsid w:val="079E79DA"/>
    <w:rsid w:val="07C459E8"/>
    <w:rsid w:val="0822060B"/>
    <w:rsid w:val="089A4646"/>
    <w:rsid w:val="08B46187"/>
    <w:rsid w:val="08B80F70"/>
    <w:rsid w:val="099E0166"/>
    <w:rsid w:val="09BF1E8A"/>
    <w:rsid w:val="0A5D1DCF"/>
    <w:rsid w:val="0A79472F"/>
    <w:rsid w:val="0A93759F"/>
    <w:rsid w:val="0A9B46A5"/>
    <w:rsid w:val="0AA25A34"/>
    <w:rsid w:val="0ADC2336"/>
    <w:rsid w:val="0AE24082"/>
    <w:rsid w:val="0B1C3A38"/>
    <w:rsid w:val="0B3D575C"/>
    <w:rsid w:val="0BDD01E9"/>
    <w:rsid w:val="0BED7182"/>
    <w:rsid w:val="0BED7DFB"/>
    <w:rsid w:val="0C112E71"/>
    <w:rsid w:val="0C9E0034"/>
    <w:rsid w:val="0CC779D3"/>
    <w:rsid w:val="0D074274"/>
    <w:rsid w:val="0D584ACF"/>
    <w:rsid w:val="0D660F9A"/>
    <w:rsid w:val="0D8D616E"/>
    <w:rsid w:val="0D9378B6"/>
    <w:rsid w:val="0DA67CA4"/>
    <w:rsid w:val="0DBB1BCD"/>
    <w:rsid w:val="0E52151F"/>
    <w:rsid w:val="0E5C414B"/>
    <w:rsid w:val="0F3A48EA"/>
    <w:rsid w:val="0FB104C7"/>
    <w:rsid w:val="0FD83CA6"/>
    <w:rsid w:val="0FED7751"/>
    <w:rsid w:val="101A606C"/>
    <w:rsid w:val="10637A13"/>
    <w:rsid w:val="109127D2"/>
    <w:rsid w:val="10C85AC8"/>
    <w:rsid w:val="10E70A1E"/>
    <w:rsid w:val="123F1DBA"/>
    <w:rsid w:val="1321613D"/>
    <w:rsid w:val="13315BA7"/>
    <w:rsid w:val="13390EFF"/>
    <w:rsid w:val="13510A26"/>
    <w:rsid w:val="138F0B1F"/>
    <w:rsid w:val="139F5206"/>
    <w:rsid w:val="13EE1CEA"/>
    <w:rsid w:val="14786D57"/>
    <w:rsid w:val="14891A12"/>
    <w:rsid w:val="14B22D17"/>
    <w:rsid w:val="15AC3C0A"/>
    <w:rsid w:val="15B50D11"/>
    <w:rsid w:val="15CA4090"/>
    <w:rsid w:val="15D55DE5"/>
    <w:rsid w:val="15DB004C"/>
    <w:rsid w:val="16B74615"/>
    <w:rsid w:val="16D50F3F"/>
    <w:rsid w:val="172B6DB1"/>
    <w:rsid w:val="176F3141"/>
    <w:rsid w:val="17F83F41"/>
    <w:rsid w:val="19445F08"/>
    <w:rsid w:val="19C91D76"/>
    <w:rsid w:val="19DB686C"/>
    <w:rsid w:val="19DD0836"/>
    <w:rsid w:val="1A057D8D"/>
    <w:rsid w:val="1A0A0EFF"/>
    <w:rsid w:val="1AF776D6"/>
    <w:rsid w:val="1BCD02DF"/>
    <w:rsid w:val="1BF55BDB"/>
    <w:rsid w:val="1C1E5C31"/>
    <w:rsid w:val="1C220782"/>
    <w:rsid w:val="1CB33AD0"/>
    <w:rsid w:val="1CB3587E"/>
    <w:rsid w:val="1CC61A56"/>
    <w:rsid w:val="1CCE26B8"/>
    <w:rsid w:val="1D383FD6"/>
    <w:rsid w:val="1D7C2114"/>
    <w:rsid w:val="1E164317"/>
    <w:rsid w:val="1EF65E5B"/>
    <w:rsid w:val="1F093E7B"/>
    <w:rsid w:val="1F8E612F"/>
    <w:rsid w:val="1FAF1996"/>
    <w:rsid w:val="20457135"/>
    <w:rsid w:val="20541A8A"/>
    <w:rsid w:val="208A11F7"/>
    <w:rsid w:val="20956C07"/>
    <w:rsid w:val="214C46C3"/>
    <w:rsid w:val="218B0B78"/>
    <w:rsid w:val="219C0FD7"/>
    <w:rsid w:val="219D7284"/>
    <w:rsid w:val="21DE514B"/>
    <w:rsid w:val="21FB3F4F"/>
    <w:rsid w:val="22342FBD"/>
    <w:rsid w:val="22DF47CF"/>
    <w:rsid w:val="23090C46"/>
    <w:rsid w:val="23B73EA6"/>
    <w:rsid w:val="23EF1892"/>
    <w:rsid w:val="24536778"/>
    <w:rsid w:val="24973CD7"/>
    <w:rsid w:val="24A26904"/>
    <w:rsid w:val="24B12340"/>
    <w:rsid w:val="24B71695"/>
    <w:rsid w:val="24E0567E"/>
    <w:rsid w:val="24EA3E07"/>
    <w:rsid w:val="24FD7FDE"/>
    <w:rsid w:val="25522A8A"/>
    <w:rsid w:val="259537B4"/>
    <w:rsid w:val="25C26B32"/>
    <w:rsid w:val="265A28F5"/>
    <w:rsid w:val="26B75F6B"/>
    <w:rsid w:val="26C2328E"/>
    <w:rsid w:val="26CF1507"/>
    <w:rsid w:val="26E06F7C"/>
    <w:rsid w:val="27C272BD"/>
    <w:rsid w:val="27E70AD2"/>
    <w:rsid w:val="27ED433A"/>
    <w:rsid w:val="282B5629"/>
    <w:rsid w:val="28576450"/>
    <w:rsid w:val="28754330"/>
    <w:rsid w:val="287700A8"/>
    <w:rsid w:val="28C140B9"/>
    <w:rsid w:val="28CF1C92"/>
    <w:rsid w:val="28E84ED5"/>
    <w:rsid w:val="2974391C"/>
    <w:rsid w:val="2A8E573C"/>
    <w:rsid w:val="2AB01F9D"/>
    <w:rsid w:val="2AB23619"/>
    <w:rsid w:val="2AC86999"/>
    <w:rsid w:val="2B1E480B"/>
    <w:rsid w:val="2B595843"/>
    <w:rsid w:val="2B787D81"/>
    <w:rsid w:val="2B893597"/>
    <w:rsid w:val="2BE21CDC"/>
    <w:rsid w:val="2BE912BD"/>
    <w:rsid w:val="2CBE035D"/>
    <w:rsid w:val="2CCB451E"/>
    <w:rsid w:val="2D197980"/>
    <w:rsid w:val="2D2F7952"/>
    <w:rsid w:val="2DE75388"/>
    <w:rsid w:val="2DF16206"/>
    <w:rsid w:val="2E2B71A8"/>
    <w:rsid w:val="2E2E2FB7"/>
    <w:rsid w:val="2E7E6ECD"/>
    <w:rsid w:val="2E884DBD"/>
    <w:rsid w:val="2E954DE4"/>
    <w:rsid w:val="2EAD65D1"/>
    <w:rsid w:val="2EE1627B"/>
    <w:rsid w:val="2EEB0EA8"/>
    <w:rsid w:val="2F261EE0"/>
    <w:rsid w:val="2F4044CD"/>
    <w:rsid w:val="2F5E5B1E"/>
    <w:rsid w:val="2FF43D8C"/>
    <w:rsid w:val="2FF81ACE"/>
    <w:rsid w:val="30077F63"/>
    <w:rsid w:val="301663F8"/>
    <w:rsid w:val="30A342AF"/>
    <w:rsid w:val="30BC03E6"/>
    <w:rsid w:val="30E958BB"/>
    <w:rsid w:val="311E37B6"/>
    <w:rsid w:val="313703D4"/>
    <w:rsid w:val="31445C96"/>
    <w:rsid w:val="31655A89"/>
    <w:rsid w:val="32674CE9"/>
    <w:rsid w:val="332C5104"/>
    <w:rsid w:val="337E053C"/>
    <w:rsid w:val="339B3E8E"/>
    <w:rsid w:val="33EA5BD2"/>
    <w:rsid w:val="344057F2"/>
    <w:rsid w:val="35812566"/>
    <w:rsid w:val="36015455"/>
    <w:rsid w:val="36172C1C"/>
    <w:rsid w:val="36DA1F2E"/>
    <w:rsid w:val="37A75B88"/>
    <w:rsid w:val="38066D52"/>
    <w:rsid w:val="383438BF"/>
    <w:rsid w:val="385B4557"/>
    <w:rsid w:val="387B329C"/>
    <w:rsid w:val="39452EAF"/>
    <w:rsid w:val="39F77282"/>
    <w:rsid w:val="3AEE222D"/>
    <w:rsid w:val="3B6F2CA1"/>
    <w:rsid w:val="3BAE5737"/>
    <w:rsid w:val="3C131A3E"/>
    <w:rsid w:val="3C8446EA"/>
    <w:rsid w:val="3C9544C9"/>
    <w:rsid w:val="3D172D16"/>
    <w:rsid w:val="3D243E5F"/>
    <w:rsid w:val="3DB1150E"/>
    <w:rsid w:val="3E3F6B1A"/>
    <w:rsid w:val="3E4E4DC0"/>
    <w:rsid w:val="3E6D7B2B"/>
    <w:rsid w:val="3E970704"/>
    <w:rsid w:val="3EA84A08"/>
    <w:rsid w:val="3ECA6D2C"/>
    <w:rsid w:val="3EE140A8"/>
    <w:rsid w:val="3FD140EA"/>
    <w:rsid w:val="3FD339BE"/>
    <w:rsid w:val="40077B0C"/>
    <w:rsid w:val="40C77D17"/>
    <w:rsid w:val="41384420"/>
    <w:rsid w:val="41870F04"/>
    <w:rsid w:val="420662CD"/>
    <w:rsid w:val="42BF022A"/>
    <w:rsid w:val="43100A85"/>
    <w:rsid w:val="434846C3"/>
    <w:rsid w:val="44136A7F"/>
    <w:rsid w:val="447C7F33"/>
    <w:rsid w:val="447F2366"/>
    <w:rsid w:val="44F763A1"/>
    <w:rsid w:val="45801494"/>
    <w:rsid w:val="459E4A6E"/>
    <w:rsid w:val="45EE1552"/>
    <w:rsid w:val="462A00B0"/>
    <w:rsid w:val="463276D6"/>
    <w:rsid w:val="46555C55"/>
    <w:rsid w:val="46CB53EF"/>
    <w:rsid w:val="47D66741"/>
    <w:rsid w:val="485E2423"/>
    <w:rsid w:val="48BD345D"/>
    <w:rsid w:val="48ED04B2"/>
    <w:rsid w:val="49D40682"/>
    <w:rsid w:val="49FE3D2D"/>
    <w:rsid w:val="4A3459A1"/>
    <w:rsid w:val="4B2A56AD"/>
    <w:rsid w:val="4B3317B5"/>
    <w:rsid w:val="4B397174"/>
    <w:rsid w:val="4B9A3871"/>
    <w:rsid w:val="4CCE3F12"/>
    <w:rsid w:val="4CEF5BAF"/>
    <w:rsid w:val="4CFA4C80"/>
    <w:rsid w:val="4D183358"/>
    <w:rsid w:val="4D43112D"/>
    <w:rsid w:val="4D891B60"/>
    <w:rsid w:val="4E755A1A"/>
    <w:rsid w:val="4ED212E5"/>
    <w:rsid w:val="4EDD03B5"/>
    <w:rsid w:val="4F043B94"/>
    <w:rsid w:val="4F2A1121"/>
    <w:rsid w:val="4F310701"/>
    <w:rsid w:val="4F3B7F03"/>
    <w:rsid w:val="4F416B96"/>
    <w:rsid w:val="4F4421E2"/>
    <w:rsid w:val="4F6665FD"/>
    <w:rsid w:val="4FA669F9"/>
    <w:rsid w:val="4FAE3B00"/>
    <w:rsid w:val="4FAE58AE"/>
    <w:rsid w:val="50615016"/>
    <w:rsid w:val="50681F00"/>
    <w:rsid w:val="50B617C6"/>
    <w:rsid w:val="50C57353"/>
    <w:rsid w:val="510065DD"/>
    <w:rsid w:val="51413951"/>
    <w:rsid w:val="51786173"/>
    <w:rsid w:val="51E63A25"/>
    <w:rsid w:val="520420FD"/>
    <w:rsid w:val="52151C14"/>
    <w:rsid w:val="52271947"/>
    <w:rsid w:val="5237602E"/>
    <w:rsid w:val="52416EAD"/>
    <w:rsid w:val="5253098E"/>
    <w:rsid w:val="529A65BD"/>
    <w:rsid w:val="52F45CCD"/>
    <w:rsid w:val="534D0BE3"/>
    <w:rsid w:val="53C02053"/>
    <w:rsid w:val="53D77AC9"/>
    <w:rsid w:val="53E775E0"/>
    <w:rsid w:val="53F65A75"/>
    <w:rsid w:val="54363533"/>
    <w:rsid w:val="544E6D9A"/>
    <w:rsid w:val="546C5CD9"/>
    <w:rsid w:val="54977258"/>
    <w:rsid w:val="5572737D"/>
    <w:rsid w:val="55915A56"/>
    <w:rsid w:val="55BA31FE"/>
    <w:rsid w:val="562F353A"/>
    <w:rsid w:val="56755377"/>
    <w:rsid w:val="56A17F1A"/>
    <w:rsid w:val="56C8194B"/>
    <w:rsid w:val="57572E94"/>
    <w:rsid w:val="58A4192B"/>
    <w:rsid w:val="58AE4B70"/>
    <w:rsid w:val="58BD4DB3"/>
    <w:rsid w:val="5980475F"/>
    <w:rsid w:val="598A1A13"/>
    <w:rsid w:val="59F40CA9"/>
    <w:rsid w:val="5AAC3332"/>
    <w:rsid w:val="5AC643F3"/>
    <w:rsid w:val="5AE44879"/>
    <w:rsid w:val="5AF745AD"/>
    <w:rsid w:val="5B4377F2"/>
    <w:rsid w:val="5B6A1223"/>
    <w:rsid w:val="5BF22FC6"/>
    <w:rsid w:val="5C084598"/>
    <w:rsid w:val="5C1B251D"/>
    <w:rsid w:val="5D137603"/>
    <w:rsid w:val="5D417D61"/>
    <w:rsid w:val="5D4B5084"/>
    <w:rsid w:val="5D613110"/>
    <w:rsid w:val="5DCD3CEB"/>
    <w:rsid w:val="5E0C65C1"/>
    <w:rsid w:val="5E1E26DD"/>
    <w:rsid w:val="5E9B334C"/>
    <w:rsid w:val="5EB56C59"/>
    <w:rsid w:val="5F1F2324"/>
    <w:rsid w:val="5FEF7F48"/>
    <w:rsid w:val="601B6F8F"/>
    <w:rsid w:val="6022031E"/>
    <w:rsid w:val="604162CA"/>
    <w:rsid w:val="60430294"/>
    <w:rsid w:val="6062696C"/>
    <w:rsid w:val="609D5BF6"/>
    <w:rsid w:val="60A32AE1"/>
    <w:rsid w:val="60D55390"/>
    <w:rsid w:val="60D619CF"/>
    <w:rsid w:val="611B6B1B"/>
    <w:rsid w:val="61915DCF"/>
    <w:rsid w:val="61931174"/>
    <w:rsid w:val="61A11716"/>
    <w:rsid w:val="61DC44FC"/>
    <w:rsid w:val="61F9329A"/>
    <w:rsid w:val="62287742"/>
    <w:rsid w:val="62487DE4"/>
    <w:rsid w:val="625C73EB"/>
    <w:rsid w:val="626B1130"/>
    <w:rsid w:val="62832BCA"/>
    <w:rsid w:val="62DD22DA"/>
    <w:rsid w:val="62FB6C04"/>
    <w:rsid w:val="633B16F7"/>
    <w:rsid w:val="635F53E5"/>
    <w:rsid w:val="64265F03"/>
    <w:rsid w:val="643A3A59"/>
    <w:rsid w:val="6523614F"/>
    <w:rsid w:val="65476131"/>
    <w:rsid w:val="654C1999"/>
    <w:rsid w:val="655F347A"/>
    <w:rsid w:val="661204ED"/>
    <w:rsid w:val="661D72B3"/>
    <w:rsid w:val="66303069"/>
    <w:rsid w:val="673D77EB"/>
    <w:rsid w:val="67A55390"/>
    <w:rsid w:val="67EC2FBF"/>
    <w:rsid w:val="67F72090"/>
    <w:rsid w:val="6804259A"/>
    <w:rsid w:val="684C6066"/>
    <w:rsid w:val="68637725"/>
    <w:rsid w:val="68AF64C7"/>
    <w:rsid w:val="68F95994"/>
    <w:rsid w:val="692A1FF1"/>
    <w:rsid w:val="69B63885"/>
    <w:rsid w:val="69E14DA6"/>
    <w:rsid w:val="69EA352F"/>
    <w:rsid w:val="6A1E3383"/>
    <w:rsid w:val="6A5C59F1"/>
    <w:rsid w:val="6A6D488B"/>
    <w:rsid w:val="6A90057A"/>
    <w:rsid w:val="6B52582F"/>
    <w:rsid w:val="6B9238FF"/>
    <w:rsid w:val="6BB1174D"/>
    <w:rsid w:val="6BCD763B"/>
    <w:rsid w:val="6C3F7B62"/>
    <w:rsid w:val="6D2E198A"/>
    <w:rsid w:val="6D714693"/>
    <w:rsid w:val="6DC347C2"/>
    <w:rsid w:val="6E573888"/>
    <w:rsid w:val="6E9D683C"/>
    <w:rsid w:val="6EAB5982"/>
    <w:rsid w:val="6F3111E4"/>
    <w:rsid w:val="6F502086"/>
    <w:rsid w:val="6FCD1928"/>
    <w:rsid w:val="7000585A"/>
    <w:rsid w:val="71297032"/>
    <w:rsid w:val="714D2D21"/>
    <w:rsid w:val="71D1100F"/>
    <w:rsid w:val="72345C8F"/>
    <w:rsid w:val="723E08BB"/>
    <w:rsid w:val="726E73F3"/>
    <w:rsid w:val="72734A09"/>
    <w:rsid w:val="72822E9E"/>
    <w:rsid w:val="72FD0776"/>
    <w:rsid w:val="73034F50"/>
    <w:rsid w:val="73041B05"/>
    <w:rsid w:val="73137F85"/>
    <w:rsid w:val="73C92771"/>
    <w:rsid w:val="741D2E7E"/>
    <w:rsid w:val="745338F9"/>
    <w:rsid w:val="745A5E80"/>
    <w:rsid w:val="74AE3AD6"/>
    <w:rsid w:val="74CE5F27"/>
    <w:rsid w:val="74E84E57"/>
    <w:rsid w:val="75907680"/>
    <w:rsid w:val="75D05CCE"/>
    <w:rsid w:val="75E579CC"/>
    <w:rsid w:val="75F23E97"/>
    <w:rsid w:val="760065B4"/>
    <w:rsid w:val="761738FD"/>
    <w:rsid w:val="761E4C8C"/>
    <w:rsid w:val="761E6A3A"/>
    <w:rsid w:val="7621652A"/>
    <w:rsid w:val="768F70DF"/>
    <w:rsid w:val="76AE4262"/>
    <w:rsid w:val="76CF41D8"/>
    <w:rsid w:val="77021803"/>
    <w:rsid w:val="77626DFA"/>
    <w:rsid w:val="783764D9"/>
    <w:rsid w:val="78412EB3"/>
    <w:rsid w:val="784D3606"/>
    <w:rsid w:val="788039DC"/>
    <w:rsid w:val="798E037A"/>
    <w:rsid w:val="79907C4E"/>
    <w:rsid w:val="7A61281C"/>
    <w:rsid w:val="7AC878BC"/>
    <w:rsid w:val="7AF75AAB"/>
    <w:rsid w:val="7BC36A67"/>
    <w:rsid w:val="7C0E12FE"/>
    <w:rsid w:val="7D2E7EAA"/>
    <w:rsid w:val="7EB54A7A"/>
    <w:rsid w:val="7EEF69EF"/>
    <w:rsid w:val="7F0D7F93"/>
    <w:rsid w:val="7F8232E2"/>
    <w:rsid w:val="7FC9210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nhideWhenUsed="0" w:uiPriority="0" w:semiHidden="0" w:name="HTML Preformatted"/>
    <w:lsdException w:qFormat="1" w:uiPriority="99" w:name="HTML Sample"/>
    <w:lsdException w:qFormat="1"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96"/>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42"/>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3"/>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4"/>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5"/>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6"/>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0"/>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188"/>
    <w:semiHidden/>
    <w:unhideWhenUsed/>
    <w:qFormat/>
    <w:uiPriority w:val="99"/>
    <w:pPr>
      <w:spacing w:after="0" w:line="240" w:lineRule="auto"/>
    </w:pPr>
    <w:rPr>
      <w:sz w:val="20"/>
    </w:rPr>
  </w:style>
  <w:style w:type="paragraph" w:styleId="17">
    <w:name w:val="footer"/>
    <w:basedOn w:val="1"/>
    <w:link w:val="61"/>
    <w:unhideWhenUsed/>
    <w:qFormat/>
    <w:uiPriority w:val="99"/>
    <w:pPr>
      <w:tabs>
        <w:tab w:val="center" w:pos="7143"/>
        <w:tab w:val="right" w:pos="14287"/>
      </w:tabs>
      <w:spacing w:after="0" w:line="240" w:lineRule="auto"/>
    </w:pPr>
  </w:style>
  <w:style w:type="paragraph" w:styleId="18">
    <w:name w:val="header"/>
    <w:basedOn w:val="1"/>
    <w:link w:val="59"/>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link w:val="54"/>
    <w:qFormat/>
    <w:uiPriority w:val="11"/>
    <w:pPr>
      <w:spacing w:before="200" w:after="200"/>
    </w:pPr>
    <w:rPr>
      <w:sz w:val="24"/>
      <w:szCs w:val="24"/>
    </w:rPr>
  </w:style>
  <w:style w:type="paragraph" w:styleId="22">
    <w:name w:val="footnote text"/>
    <w:basedOn w:val="1"/>
    <w:link w:val="187"/>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HTML Preformatted"/>
    <w:qFormat/>
    <w:uiPriority w:val="0"/>
    <w:pPr>
      <w:widowControl w:val="0"/>
      <w:jc w:val="both"/>
    </w:pPr>
    <w:rPr>
      <w:rFonts w:hint="default" w:ascii="Courier New" w:hAnsi="Courier New" w:eastAsia="宋体" w:cs="Times New Roman"/>
      <w:sz w:val="20"/>
      <w:lang w:val="en-US" w:eastAsia="zh-CN" w:bidi="ar-SA"/>
    </w:rPr>
  </w:style>
  <w:style w:type="paragraph" w:styleId="28">
    <w:name w:val="Title"/>
    <w:basedOn w:val="1"/>
    <w:next w:val="1"/>
    <w:link w:val="53"/>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FollowedHyperlink"/>
    <w:basedOn w:val="31"/>
    <w:semiHidden/>
    <w:unhideWhenUsed/>
    <w:uiPriority w:val="99"/>
    <w:rPr>
      <w:color w:val="800080"/>
      <w:u w:val="none"/>
    </w:rPr>
  </w:style>
  <w:style w:type="character" w:styleId="34">
    <w:name w:val="HTML Typewriter"/>
    <w:basedOn w:val="31"/>
    <w:semiHidden/>
    <w:unhideWhenUsed/>
    <w:qFormat/>
    <w:uiPriority w:val="99"/>
    <w:rPr>
      <w:rFonts w:ascii="monospace" w:hAnsi="monospace" w:eastAsia="monospace" w:cs="monospace"/>
      <w:sz w:val="20"/>
    </w:rPr>
  </w:style>
  <w:style w:type="character" w:styleId="35">
    <w:name w:val="HTML Acronym"/>
    <w:basedOn w:val="31"/>
    <w:semiHidden/>
    <w:unhideWhenUsed/>
    <w:qFormat/>
    <w:uiPriority w:val="99"/>
  </w:style>
  <w:style w:type="character" w:styleId="36">
    <w:name w:val="Hyperlink"/>
    <w:unhideWhenUsed/>
    <w:qFormat/>
    <w:uiPriority w:val="99"/>
    <w:rPr>
      <w:color w:val="0000FF" w:themeColor="hyperlink"/>
      <w:u w:val="single"/>
      <w14:textFill>
        <w14:solidFill>
          <w14:schemeClr w14:val="hlink"/>
        </w14:solidFill>
      </w14:textFill>
    </w:rPr>
  </w:style>
  <w:style w:type="character" w:styleId="37">
    <w:name w:val="HTML Code"/>
    <w:basedOn w:val="31"/>
    <w:semiHidden/>
    <w:unhideWhenUsed/>
    <w:qFormat/>
    <w:uiPriority w:val="99"/>
    <w:rPr>
      <w:rFonts w:hint="default" w:ascii="monospace" w:hAnsi="monospace" w:eastAsia="monospace" w:cs="monospace"/>
      <w:sz w:val="20"/>
    </w:rPr>
  </w:style>
  <w:style w:type="character" w:styleId="38">
    <w:name w:val="footnote reference"/>
    <w:unhideWhenUsed/>
    <w:qFormat/>
    <w:uiPriority w:val="99"/>
    <w:rPr>
      <w:vertAlign w:val="superscript"/>
    </w:rPr>
  </w:style>
  <w:style w:type="character" w:styleId="39">
    <w:name w:val="HTML Keyboard"/>
    <w:basedOn w:val="31"/>
    <w:semiHidden/>
    <w:unhideWhenUsed/>
    <w:qFormat/>
    <w:uiPriority w:val="99"/>
    <w:rPr>
      <w:rFonts w:hint="default" w:ascii="monospace" w:hAnsi="monospace" w:eastAsia="monospace" w:cs="monospace"/>
      <w:sz w:val="20"/>
    </w:rPr>
  </w:style>
  <w:style w:type="character" w:styleId="40">
    <w:name w:val="HTML Sample"/>
    <w:basedOn w:val="31"/>
    <w:semiHidden/>
    <w:unhideWhenUsed/>
    <w:qFormat/>
    <w:uiPriority w:val="99"/>
    <w:rPr>
      <w:rFonts w:hint="default" w:ascii="monospace" w:hAnsi="monospace" w:eastAsia="monospace" w:cs="monospace"/>
    </w:rPr>
  </w:style>
  <w:style w:type="paragraph" w:customStyle="1" w:styleId="41">
    <w:name w:val="_Style 1"/>
    <w:qFormat/>
    <w:uiPriority w:val="0"/>
    <w:pPr>
      <w:widowControl w:val="0"/>
      <w:ind w:firstLine="420" w:firstLineChars="200"/>
      <w:jc w:val="both"/>
    </w:pPr>
    <w:rPr>
      <w:rFonts w:ascii="Times New Roman" w:hAnsi="Times New Roman" w:eastAsia="宋体" w:cs="Times New Roman"/>
      <w:kern w:val="2"/>
      <w:sz w:val="21"/>
      <w:szCs w:val="24"/>
      <w:lang w:val="en-US" w:eastAsia="zh-CN" w:bidi="ar-SA"/>
    </w:rPr>
  </w:style>
  <w:style w:type="character" w:customStyle="1" w:styleId="42">
    <w:name w:val="Heading 1 Char"/>
    <w:link w:val="2"/>
    <w:qFormat/>
    <w:uiPriority w:val="9"/>
    <w:rPr>
      <w:rFonts w:ascii="Arial" w:hAnsi="Arial" w:eastAsia="Arial" w:cs="Arial"/>
      <w:sz w:val="40"/>
      <w:szCs w:val="40"/>
    </w:rPr>
  </w:style>
  <w:style w:type="character" w:customStyle="1" w:styleId="43">
    <w:name w:val="Heading 2 Char"/>
    <w:link w:val="3"/>
    <w:qFormat/>
    <w:uiPriority w:val="9"/>
    <w:rPr>
      <w:rFonts w:ascii="Arial" w:hAnsi="Arial" w:eastAsia="Arial" w:cs="Arial"/>
      <w:sz w:val="34"/>
    </w:rPr>
  </w:style>
  <w:style w:type="character" w:customStyle="1" w:styleId="44">
    <w:name w:val="Heading 3 Char"/>
    <w:link w:val="4"/>
    <w:qFormat/>
    <w:uiPriority w:val="9"/>
    <w:rPr>
      <w:rFonts w:ascii="Arial" w:hAnsi="Arial" w:eastAsia="Arial" w:cs="Arial"/>
      <w:sz w:val="30"/>
      <w:szCs w:val="30"/>
    </w:rPr>
  </w:style>
  <w:style w:type="character" w:customStyle="1" w:styleId="45">
    <w:name w:val="Heading 4 Char"/>
    <w:link w:val="5"/>
    <w:qFormat/>
    <w:uiPriority w:val="9"/>
    <w:rPr>
      <w:rFonts w:ascii="Arial" w:hAnsi="Arial" w:eastAsia="Arial" w:cs="Arial"/>
      <w:b/>
      <w:bCs/>
      <w:sz w:val="26"/>
      <w:szCs w:val="26"/>
    </w:rPr>
  </w:style>
  <w:style w:type="character" w:customStyle="1" w:styleId="46">
    <w:name w:val="Heading 5 Char"/>
    <w:link w:val="6"/>
    <w:qFormat/>
    <w:uiPriority w:val="9"/>
    <w:rPr>
      <w:rFonts w:ascii="Arial" w:hAnsi="Arial" w:eastAsia="Arial" w:cs="Arial"/>
      <w:b/>
      <w:bCs/>
      <w:sz w:val="24"/>
      <w:szCs w:val="24"/>
    </w:rPr>
  </w:style>
  <w:style w:type="character" w:customStyle="1" w:styleId="47">
    <w:name w:val="Heading 6 Char"/>
    <w:link w:val="7"/>
    <w:qFormat/>
    <w:uiPriority w:val="9"/>
    <w:rPr>
      <w:rFonts w:ascii="Arial" w:hAnsi="Arial" w:eastAsia="Arial" w:cs="Arial"/>
      <w:b/>
      <w:bCs/>
      <w:sz w:val="22"/>
      <w:szCs w:val="22"/>
    </w:rPr>
  </w:style>
  <w:style w:type="character" w:customStyle="1" w:styleId="48">
    <w:name w:val="Heading 7 Char"/>
    <w:link w:val="8"/>
    <w:qFormat/>
    <w:uiPriority w:val="9"/>
    <w:rPr>
      <w:rFonts w:ascii="Arial" w:hAnsi="Arial" w:eastAsia="Arial" w:cs="Arial"/>
      <w:b/>
      <w:bCs/>
      <w:i/>
      <w:iCs/>
      <w:sz w:val="22"/>
      <w:szCs w:val="22"/>
    </w:rPr>
  </w:style>
  <w:style w:type="character" w:customStyle="1" w:styleId="49">
    <w:name w:val="Heading 8 Char"/>
    <w:link w:val="9"/>
    <w:qFormat/>
    <w:uiPriority w:val="9"/>
    <w:rPr>
      <w:rFonts w:ascii="Arial" w:hAnsi="Arial" w:eastAsia="Arial" w:cs="Arial"/>
      <w:i/>
      <w:iCs/>
      <w:sz w:val="22"/>
      <w:szCs w:val="22"/>
    </w:rPr>
  </w:style>
  <w:style w:type="character" w:customStyle="1" w:styleId="50">
    <w:name w:val="Heading 9 Char"/>
    <w:link w:val="10"/>
    <w:qFormat/>
    <w:uiPriority w:val="9"/>
    <w:rPr>
      <w:rFonts w:ascii="Arial" w:hAnsi="Arial" w:eastAsia="Arial" w:cs="Arial"/>
      <w:i/>
      <w:iCs/>
      <w:sz w:val="21"/>
      <w:szCs w:val="21"/>
    </w:rPr>
  </w:style>
  <w:style w:type="paragraph" w:styleId="51">
    <w:name w:val="List Paragraph"/>
    <w:basedOn w:val="1"/>
    <w:qFormat/>
    <w:uiPriority w:val="34"/>
    <w:pPr>
      <w:ind w:left="720"/>
      <w:contextualSpacing/>
    </w:pPr>
  </w:style>
  <w:style w:type="paragraph" w:styleId="52">
    <w:name w:val="No Spacing"/>
    <w:qFormat/>
    <w:uiPriority w:val="1"/>
    <w:pPr>
      <w:spacing w:before="0" w:after="0" w:line="240" w:lineRule="auto"/>
    </w:pPr>
    <w:rPr>
      <w:rFonts w:hint="default" w:ascii="Times New Roman" w:hAnsi="Times New Roman" w:eastAsia="宋体" w:cs="Times New Roman"/>
    </w:rPr>
  </w:style>
  <w:style w:type="character" w:customStyle="1" w:styleId="53">
    <w:name w:val="Title Char"/>
    <w:link w:val="28"/>
    <w:qFormat/>
    <w:uiPriority w:val="10"/>
    <w:rPr>
      <w:sz w:val="48"/>
      <w:szCs w:val="48"/>
    </w:rPr>
  </w:style>
  <w:style w:type="character" w:customStyle="1" w:styleId="54">
    <w:name w:val="Subtitle Char"/>
    <w:link w:val="21"/>
    <w:qFormat/>
    <w:uiPriority w:val="11"/>
    <w:rPr>
      <w:sz w:val="24"/>
      <w:szCs w:val="24"/>
    </w:rPr>
  </w:style>
  <w:style w:type="paragraph" w:styleId="55">
    <w:name w:val="Quote"/>
    <w:basedOn w:val="1"/>
    <w:next w:val="1"/>
    <w:link w:val="56"/>
    <w:qFormat/>
    <w:uiPriority w:val="29"/>
    <w:pPr>
      <w:ind w:left="720" w:right="720"/>
    </w:pPr>
    <w:rPr>
      <w:i/>
    </w:rPr>
  </w:style>
  <w:style w:type="character" w:customStyle="1" w:styleId="56">
    <w:name w:val="Quote Char"/>
    <w:link w:val="55"/>
    <w:qFormat/>
    <w:uiPriority w:val="29"/>
    <w:rPr>
      <w:i/>
    </w:rPr>
  </w:style>
  <w:style w:type="paragraph" w:styleId="57">
    <w:name w:val="Intense Quote"/>
    <w:basedOn w:val="1"/>
    <w:next w:val="1"/>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8">
    <w:name w:val="Intense Quote Char"/>
    <w:link w:val="57"/>
    <w:qFormat/>
    <w:uiPriority w:val="30"/>
    <w:rPr>
      <w:i/>
    </w:rPr>
  </w:style>
  <w:style w:type="character" w:customStyle="1" w:styleId="59">
    <w:name w:val="Header Char"/>
    <w:link w:val="18"/>
    <w:qFormat/>
    <w:uiPriority w:val="99"/>
  </w:style>
  <w:style w:type="character" w:customStyle="1" w:styleId="60">
    <w:name w:val="Footer Char"/>
    <w:link w:val="17"/>
    <w:qFormat/>
    <w:uiPriority w:val="99"/>
  </w:style>
  <w:style w:type="character" w:customStyle="1" w:styleId="61">
    <w:name w:val="Caption Char"/>
    <w:link w:val="17"/>
    <w:qFormat/>
    <w:uiPriority w:val="99"/>
  </w:style>
  <w:style w:type="table" w:customStyle="1" w:styleId="62">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3">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0">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1">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2">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3">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4">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5">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1">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8">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9">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0">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1">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2">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3">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7">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0">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4">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7">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9">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0">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1">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2">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3">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4">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6">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7">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8">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9">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0">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1">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2">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3">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4">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5">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6">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7">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8">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6">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7">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8">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9">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0">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1">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2">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3">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1">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2">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3">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4">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5">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6">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7">
    <w:name w:val="Footnote Text Char"/>
    <w:link w:val="22"/>
    <w:qFormat/>
    <w:uiPriority w:val="99"/>
    <w:rPr>
      <w:sz w:val="18"/>
    </w:rPr>
  </w:style>
  <w:style w:type="character" w:customStyle="1" w:styleId="188">
    <w:name w:val="Endnote Text Char"/>
    <w:link w:val="16"/>
    <w:qFormat/>
    <w:uiPriority w:val="99"/>
    <w:rPr>
      <w:sz w:val="20"/>
    </w:rPr>
  </w:style>
  <w:style w:type="paragraph" w:customStyle="1" w:styleId="189">
    <w:name w:val="TOC Heading"/>
    <w:unhideWhenUsed/>
    <w:qFormat/>
    <w:uiPriority w:val="39"/>
    <w:rPr>
      <w:rFonts w:hint="default" w:ascii="Times New Roman" w:hAnsi="Times New Roman" w:eastAsia="宋体" w:cs="Times New Roman"/>
    </w:rPr>
  </w:style>
  <w:style w:type="paragraph" w:customStyle="1" w:styleId="190">
    <w:name w:val="标题 11"/>
    <w:basedOn w:val="1"/>
    <w:next w:val="1"/>
    <w:link w:val="199"/>
    <w:qFormat/>
    <w:uiPriority w:val="0"/>
    <w:pPr>
      <w:keepNext/>
      <w:keepLines/>
      <w:spacing w:before="340" w:after="330" w:line="576" w:lineRule="auto"/>
      <w:outlineLvl w:val="0"/>
    </w:pPr>
    <w:rPr>
      <w:b/>
      <w:sz w:val="44"/>
    </w:rPr>
  </w:style>
  <w:style w:type="paragraph" w:customStyle="1" w:styleId="191">
    <w:name w:val="标题 21"/>
    <w:basedOn w:val="1"/>
    <w:next w:val="1"/>
    <w:link w:val="200"/>
    <w:qFormat/>
    <w:uiPriority w:val="0"/>
    <w:pPr>
      <w:keepNext/>
      <w:keepLines/>
      <w:spacing w:before="120" w:after="120"/>
      <w:jc w:val="left"/>
      <w:outlineLvl w:val="1"/>
    </w:pPr>
    <w:rPr>
      <w:rFonts w:ascii="宋体" w:hAnsi="宋体"/>
      <w:b/>
      <w:szCs w:val="24"/>
    </w:rPr>
  </w:style>
  <w:style w:type="paragraph" w:customStyle="1" w:styleId="192">
    <w:name w:val="标题 31"/>
    <w:basedOn w:val="1"/>
    <w:next w:val="1"/>
    <w:link w:val="201"/>
    <w:qFormat/>
    <w:uiPriority w:val="1"/>
    <w:pPr>
      <w:spacing w:before="37"/>
      <w:ind w:right="145"/>
      <w:jc w:val="left"/>
      <w:outlineLvl w:val="2"/>
    </w:pPr>
    <w:rPr>
      <w:rFonts w:ascii="宋体" w:hAnsi="宋体" w:cs="宋体"/>
      <w:b/>
      <w:bCs/>
      <w:sz w:val="24"/>
      <w:lang w:val="zh-CN" w:bidi="zh-CN"/>
    </w:rPr>
  </w:style>
  <w:style w:type="paragraph" w:customStyle="1" w:styleId="193">
    <w:name w:val="标题 41"/>
    <w:basedOn w:val="1"/>
    <w:next w:val="1"/>
    <w:link w:val="202"/>
    <w:qFormat/>
    <w:uiPriority w:val="0"/>
    <w:pPr>
      <w:keepNext/>
      <w:keepLines/>
      <w:spacing w:before="120" w:after="120"/>
      <w:outlineLvl w:val="3"/>
    </w:pPr>
    <w:rPr>
      <w:rFonts w:ascii="Arial" w:hAnsi="Arial" w:eastAsia="黑体"/>
      <w:b/>
      <w:sz w:val="20"/>
    </w:rPr>
  </w:style>
  <w:style w:type="paragraph" w:customStyle="1" w:styleId="194">
    <w:name w:val="标题 51"/>
    <w:basedOn w:val="1"/>
    <w:next w:val="1"/>
    <w:link w:val="203"/>
    <w:qFormat/>
    <w:uiPriority w:val="0"/>
    <w:pPr>
      <w:keepNext/>
      <w:keepLines/>
      <w:tabs>
        <w:tab w:val="left" w:pos="1008"/>
      </w:tabs>
      <w:spacing w:before="280" w:after="290" w:line="372" w:lineRule="auto"/>
      <w:ind w:left="1008" w:hanging="1008"/>
      <w:outlineLvl w:val="4"/>
    </w:pPr>
    <w:rPr>
      <w:b/>
      <w:sz w:val="28"/>
    </w:rPr>
  </w:style>
  <w:style w:type="paragraph" w:customStyle="1" w:styleId="195">
    <w:name w:val="标题 71"/>
    <w:basedOn w:val="1"/>
    <w:next w:val="1"/>
    <w:link w:val="204"/>
    <w:qFormat/>
    <w:uiPriority w:val="0"/>
    <w:pPr>
      <w:keepNext/>
      <w:keepLines/>
      <w:tabs>
        <w:tab w:val="left" w:pos="1296"/>
      </w:tabs>
      <w:spacing w:before="240" w:after="64" w:line="317" w:lineRule="auto"/>
      <w:ind w:left="1296" w:hanging="1296"/>
      <w:outlineLvl w:val="6"/>
    </w:pPr>
    <w:rPr>
      <w:b/>
      <w:sz w:val="24"/>
    </w:rPr>
  </w:style>
  <w:style w:type="character" w:customStyle="1" w:styleId="196">
    <w:name w:val="默认段落字体1"/>
    <w:link w:val="1"/>
    <w:semiHidden/>
    <w:qFormat/>
    <w:uiPriority w:val="0"/>
  </w:style>
  <w:style w:type="table" w:customStyle="1" w:styleId="197">
    <w:name w:val="普通表格1"/>
    <w:semiHidden/>
    <w:qFormat/>
    <w:uiPriority w:val="0"/>
  </w:style>
  <w:style w:type="paragraph" w:customStyle="1" w:styleId="198">
    <w:name w:val="DAS正文"/>
    <w:qFormat/>
    <w:uiPriority w:val="0"/>
    <w:pPr>
      <w:widowControl w:val="0"/>
      <w:spacing w:line="360" w:lineRule="auto"/>
      <w:ind w:right="181" w:firstLine="480"/>
      <w:jc w:val="both"/>
    </w:pPr>
    <w:rPr>
      <w:rFonts w:hint="default" w:ascii="Verdana" w:hAnsi="Verdana" w:eastAsia="宋体" w:cs="Times New Roman"/>
      <w:sz w:val="21"/>
      <w:szCs w:val="24"/>
      <w:lang w:val="en-US" w:eastAsia="zh-CN" w:bidi="ar-SA"/>
    </w:rPr>
  </w:style>
  <w:style w:type="character" w:customStyle="1" w:styleId="199">
    <w:name w:val="标题 1 字符"/>
    <w:link w:val="190"/>
    <w:qFormat/>
    <w:uiPriority w:val="1"/>
    <w:rPr>
      <w:rFonts w:cs="Times New Roman"/>
      <w:b/>
      <w:sz w:val="44"/>
      <w:szCs w:val="24"/>
    </w:rPr>
  </w:style>
  <w:style w:type="character" w:customStyle="1" w:styleId="200">
    <w:name w:val="标题 2 字符"/>
    <w:link w:val="191"/>
    <w:qFormat/>
    <w:uiPriority w:val="0"/>
    <w:rPr>
      <w:rFonts w:ascii="宋体" w:hAnsi="宋体" w:cs="Times New Roman"/>
      <w:b/>
      <w:sz w:val="21"/>
      <w:szCs w:val="24"/>
    </w:rPr>
  </w:style>
  <w:style w:type="character" w:customStyle="1" w:styleId="201">
    <w:name w:val="标题 3 字符"/>
    <w:link w:val="192"/>
    <w:qFormat/>
    <w:uiPriority w:val="1"/>
    <w:rPr>
      <w:rFonts w:ascii="宋体" w:hAnsi="宋体"/>
      <w:b/>
      <w:bCs/>
      <w:sz w:val="24"/>
      <w:szCs w:val="24"/>
      <w:lang w:val="zh-CN" w:bidi="zh-CN"/>
    </w:rPr>
  </w:style>
  <w:style w:type="character" w:customStyle="1" w:styleId="202">
    <w:name w:val="标题 4 字符"/>
    <w:link w:val="193"/>
    <w:qFormat/>
    <w:uiPriority w:val="0"/>
    <w:rPr>
      <w:rFonts w:ascii="Arial" w:hAnsi="Arial" w:eastAsia="黑体" w:cs="Times New Roman"/>
      <w:b/>
      <w:szCs w:val="24"/>
    </w:rPr>
  </w:style>
  <w:style w:type="character" w:customStyle="1" w:styleId="203">
    <w:name w:val="标题 5 字符"/>
    <w:link w:val="194"/>
    <w:qFormat/>
    <w:uiPriority w:val="0"/>
    <w:rPr>
      <w:b/>
      <w:sz w:val="28"/>
    </w:rPr>
  </w:style>
  <w:style w:type="character" w:customStyle="1" w:styleId="204">
    <w:name w:val="标题 7 字符"/>
    <w:link w:val="195"/>
    <w:qFormat/>
    <w:uiPriority w:val="0"/>
    <w:rPr>
      <w:rFonts w:cs="Times New Roman"/>
      <w:b/>
      <w:sz w:val="24"/>
      <w:szCs w:val="24"/>
    </w:rPr>
  </w:style>
  <w:style w:type="paragraph" w:customStyle="1" w:styleId="205">
    <w:name w:val="正文缩进1"/>
    <w:basedOn w:val="1"/>
    <w:unhideWhenUsed/>
    <w:qFormat/>
    <w:uiPriority w:val="99"/>
    <w:pPr>
      <w:ind w:firstLine="420"/>
    </w:pPr>
  </w:style>
  <w:style w:type="paragraph" w:customStyle="1" w:styleId="206">
    <w:name w:val="批注文字1"/>
    <w:basedOn w:val="1"/>
    <w:link w:val="207"/>
    <w:qFormat/>
    <w:uiPriority w:val="0"/>
    <w:pPr>
      <w:jc w:val="left"/>
    </w:pPr>
    <w:rPr>
      <w:sz w:val="20"/>
    </w:rPr>
  </w:style>
  <w:style w:type="character" w:customStyle="1" w:styleId="207">
    <w:name w:val="批注文字 字符1"/>
    <w:link w:val="206"/>
    <w:qFormat/>
    <w:uiPriority w:val="0"/>
    <w:rPr>
      <w:rFonts w:cs="Times New Roman"/>
      <w:szCs w:val="24"/>
    </w:rPr>
  </w:style>
  <w:style w:type="paragraph" w:customStyle="1" w:styleId="208">
    <w:name w:val="正文文本111"/>
    <w:basedOn w:val="1"/>
    <w:next w:val="1"/>
    <w:link w:val="209"/>
    <w:qFormat/>
    <w:uiPriority w:val="99"/>
    <w:rPr>
      <w:rFonts w:ascii="Times New Roman" w:hAnsi="Times New Roman" w:eastAsia="仿宋_GB2312" w:cs="Times New Roman"/>
    </w:rPr>
  </w:style>
  <w:style w:type="character" w:customStyle="1" w:styleId="209">
    <w:name w:val="正文文本 字符1"/>
    <w:link w:val="208"/>
    <w:qFormat/>
    <w:uiPriority w:val="1"/>
    <w:rPr>
      <w:rFonts w:ascii="Times New Roman" w:hAnsi="Times New Roman" w:eastAsia="仿宋_GB2312" w:cs="Times New Roman"/>
      <w:sz w:val="21"/>
      <w:szCs w:val="24"/>
    </w:rPr>
  </w:style>
  <w:style w:type="paragraph" w:customStyle="1" w:styleId="210">
    <w:name w:val="正文文本缩进1"/>
    <w:basedOn w:val="1"/>
    <w:next w:val="211"/>
    <w:link w:val="212"/>
    <w:qFormat/>
    <w:uiPriority w:val="99"/>
    <w:pPr>
      <w:spacing w:after="120"/>
      <w:ind w:left="420"/>
    </w:pPr>
    <w:rPr>
      <w:sz w:val="24"/>
    </w:rPr>
  </w:style>
  <w:style w:type="paragraph" w:customStyle="1" w:styleId="211">
    <w:name w:val="寄信人地址1"/>
    <w:basedOn w:val="1"/>
    <w:qFormat/>
    <w:uiPriority w:val="0"/>
    <w:rPr>
      <w:rFonts w:ascii="Arial" w:hAnsi="Arial"/>
    </w:rPr>
  </w:style>
  <w:style w:type="character" w:customStyle="1" w:styleId="212">
    <w:name w:val="正文文本缩进 字符"/>
    <w:link w:val="210"/>
    <w:qFormat/>
    <w:uiPriority w:val="99"/>
    <w:rPr>
      <w:rFonts w:cs="Times New Roman"/>
      <w:sz w:val="24"/>
      <w:szCs w:val="24"/>
    </w:rPr>
  </w:style>
  <w:style w:type="paragraph" w:customStyle="1" w:styleId="213">
    <w:name w:val="文本块1"/>
    <w:basedOn w:val="1"/>
    <w:qFormat/>
    <w:uiPriority w:val="0"/>
    <w:pPr>
      <w:spacing w:after="120"/>
      <w:ind w:left="1440" w:right="1440"/>
      <w:jc w:val="left"/>
    </w:pPr>
    <w:rPr>
      <w:rFonts w:ascii="宋体" w:hAnsi="宋体" w:cs="宋体"/>
      <w:sz w:val="22"/>
      <w:szCs w:val="22"/>
      <w:lang w:val="zh-CN" w:bidi="zh-CN"/>
    </w:rPr>
  </w:style>
  <w:style w:type="paragraph" w:customStyle="1" w:styleId="214">
    <w:name w:val="索引 41"/>
    <w:basedOn w:val="1"/>
    <w:next w:val="1"/>
    <w:qFormat/>
    <w:uiPriority w:val="0"/>
    <w:pPr>
      <w:ind w:left="600"/>
    </w:pPr>
    <w:rPr>
      <w:rFonts w:ascii="Verdana" w:hAnsi="Verdana"/>
    </w:rPr>
  </w:style>
  <w:style w:type="paragraph" w:customStyle="1" w:styleId="215">
    <w:name w:val="目录 31"/>
    <w:basedOn w:val="1"/>
    <w:next w:val="1"/>
    <w:unhideWhenUsed/>
    <w:qFormat/>
    <w:uiPriority w:val="39"/>
    <w:pPr>
      <w:ind w:left="840"/>
      <w:jc w:val="left"/>
    </w:pPr>
    <w:rPr>
      <w:rFonts w:ascii="宋体" w:hAnsi="宋体" w:cs="宋体"/>
      <w:sz w:val="22"/>
      <w:szCs w:val="22"/>
      <w:lang w:val="zh-CN" w:bidi="zh-CN"/>
    </w:rPr>
  </w:style>
  <w:style w:type="paragraph" w:customStyle="1" w:styleId="216">
    <w:name w:val="纯文本1"/>
    <w:basedOn w:val="1"/>
    <w:link w:val="217"/>
    <w:qFormat/>
    <w:uiPriority w:val="99"/>
    <w:pPr>
      <w:jc w:val="left"/>
    </w:pPr>
    <w:rPr>
      <w:rFonts w:ascii="宋体" w:hAnsi="Courier New" w:cs="宋体"/>
      <w:sz w:val="22"/>
      <w:szCs w:val="22"/>
      <w:lang w:val="zh-CN" w:bidi="zh-CN"/>
    </w:rPr>
  </w:style>
  <w:style w:type="character" w:customStyle="1" w:styleId="217">
    <w:name w:val="纯文本 字符"/>
    <w:link w:val="216"/>
    <w:qFormat/>
    <w:uiPriority w:val="0"/>
    <w:rPr>
      <w:rFonts w:ascii="宋体" w:hAnsi="Courier New"/>
      <w:sz w:val="22"/>
      <w:szCs w:val="22"/>
      <w:lang w:val="zh-CN" w:bidi="zh-CN"/>
    </w:rPr>
  </w:style>
  <w:style w:type="paragraph" w:customStyle="1" w:styleId="218">
    <w:name w:val="批注框文本1"/>
    <w:basedOn w:val="1"/>
    <w:link w:val="219"/>
    <w:qFormat/>
    <w:uiPriority w:val="0"/>
    <w:pPr>
      <w:jc w:val="left"/>
    </w:pPr>
    <w:rPr>
      <w:rFonts w:ascii="宋体" w:hAnsi="宋体" w:cs="宋体"/>
      <w:sz w:val="18"/>
      <w:szCs w:val="18"/>
      <w:lang w:val="zh-CN" w:bidi="zh-CN"/>
    </w:rPr>
  </w:style>
  <w:style w:type="character" w:customStyle="1" w:styleId="219">
    <w:name w:val="批注框文本 字符"/>
    <w:link w:val="218"/>
    <w:qFormat/>
    <w:uiPriority w:val="0"/>
    <w:rPr>
      <w:rFonts w:ascii="宋体" w:hAnsi="宋体"/>
      <w:sz w:val="18"/>
      <w:szCs w:val="18"/>
      <w:lang w:val="zh-CN" w:bidi="zh-CN"/>
    </w:rPr>
  </w:style>
  <w:style w:type="paragraph" w:customStyle="1" w:styleId="220">
    <w:name w:val="页脚1"/>
    <w:basedOn w:val="1"/>
    <w:link w:val="221"/>
    <w:unhideWhenUsed/>
    <w:qFormat/>
    <w:uiPriority w:val="0"/>
    <w:pPr>
      <w:tabs>
        <w:tab w:val="center" w:pos="4153"/>
        <w:tab w:val="right" w:pos="8306"/>
      </w:tabs>
      <w:jc w:val="left"/>
    </w:pPr>
    <w:rPr>
      <w:sz w:val="18"/>
      <w:szCs w:val="18"/>
    </w:rPr>
  </w:style>
  <w:style w:type="character" w:customStyle="1" w:styleId="221">
    <w:name w:val="页脚 字符"/>
    <w:link w:val="220"/>
    <w:qFormat/>
    <w:uiPriority w:val="0"/>
    <w:rPr>
      <w:rFonts w:cs="Times New Roman"/>
      <w:sz w:val="18"/>
      <w:szCs w:val="18"/>
    </w:rPr>
  </w:style>
  <w:style w:type="paragraph" w:customStyle="1" w:styleId="222">
    <w:name w:val="页眉1"/>
    <w:basedOn w:val="1"/>
    <w:link w:val="223"/>
    <w:unhideWhenUsed/>
    <w:qFormat/>
    <w:uiPriority w:val="0"/>
    <w:pPr>
      <w:pBdr>
        <w:bottom w:val="single" w:color="000000" w:sz="6" w:space="1"/>
      </w:pBdr>
      <w:tabs>
        <w:tab w:val="center" w:pos="4153"/>
        <w:tab w:val="right" w:pos="8306"/>
      </w:tabs>
      <w:jc w:val="center"/>
    </w:pPr>
    <w:rPr>
      <w:sz w:val="18"/>
      <w:szCs w:val="18"/>
    </w:rPr>
  </w:style>
  <w:style w:type="character" w:customStyle="1" w:styleId="223">
    <w:name w:val="页眉 字符"/>
    <w:link w:val="222"/>
    <w:qFormat/>
    <w:uiPriority w:val="0"/>
    <w:rPr>
      <w:rFonts w:cs="Times New Roman"/>
      <w:sz w:val="18"/>
      <w:szCs w:val="18"/>
    </w:rPr>
  </w:style>
  <w:style w:type="paragraph" w:customStyle="1" w:styleId="224">
    <w:name w:val="目录 11"/>
    <w:basedOn w:val="1"/>
    <w:next w:val="1"/>
    <w:unhideWhenUsed/>
    <w:qFormat/>
    <w:uiPriority w:val="39"/>
    <w:pPr>
      <w:jc w:val="left"/>
    </w:pPr>
    <w:rPr>
      <w:rFonts w:ascii="宋体" w:hAnsi="宋体" w:eastAsia="黑体" w:cs="宋体"/>
      <w:sz w:val="28"/>
      <w:szCs w:val="22"/>
      <w:lang w:val="zh-CN" w:bidi="zh-CN"/>
    </w:rPr>
  </w:style>
  <w:style w:type="paragraph" w:customStyle="1" w:styleId="225">
    <w:name w:val="副标题1"/>
    <w:basedOn w:val="1"/>
    <w:next w:val="1"/>
    <w:link w:val="226"/>
    <w:qFormat/>
    <w:uiPriority w:val="11"/>
    <w:pPr>
      <w:spacing w:before="240" w:after="60" w:line="312" w:lineRule="auto"/>
      <w:jc w:val="center"/>
      <w:outlineLvl w:val="1"/>
    </w:pPr>
    <w:rPr>
      <w:rFonts w:ascii="Calibri Light" w:hAnsi="Calibri Light"/>
      <w:b/>
      <w:bCs/>
      <w:sz w:val="32"/>
      <w:szCs w:val="32"/>
      <w:lang w:val="zh-CN" w:bidi="zh-CN"/>
    </w:rPr>
  </w:style>
  <w:style w:type="character" w:customStyle="1" w:styleId="226">
    <w:name w:val="副标题 字符"/>
    <w:link w:val="225"/>
    <w:qFormat/>
    <w:uiPriority w:val="11"/>
    <w:rPr>
      <w:rFonts w:ascii="Calibri Light" w:hAnsi="Calibri Light" w:cs="Times New Roman"/>
      <w:b/>
      <w:bCs/>
      <w:sz w:val="32"/>
      <w:szCs w:val="32"/>
      <w:lang w:val="zh-CN" w:bidi="zh-CN"/>
    </w:rPr>
  </w:style>
  <w:style w:type="paragraph" w:customStyle="1" w:styleId="227">
    <w:name w:val="正文文本缩进 31"/>
    <w:basedOn w:val="1"/>
    <w:link w:val="228"/>
    <w:qFormat/>
    <w:uiPriority w:val="0"/>
    <w:pPr>
      <w:widowControl/>
      <w:tabs>
        <w:tab w:val="left" w:pos="0"/>
        <w:tab w:val="left" w:pos="1134"/>
      </w:tabs>
      <w:spacing w:line="360" w:lineRule="auto"/>
      <w:ind w:left="567"/>
      <w:jc w:val="left"/>
    </w:pPr>
    <w:rPr>
      <w:rFonts w:ascii="仿宋_GB2312" w:hAnsi="Times New Roman" w:eastAsia="仿宋_GB2312"/>
      <w:sz w:val="28"/>
      <w:szCs w:val="20"/>
    </w:rPr>
  </w:style>
  <w:style w:type="character" w:customStyle="1" w:styleId="228">
    <w:name w:val="正文文本缩进 3 字符"/>
    <w:link w:val="227"/>
    <w:qFormat/>
    <w:uiPriority w:val="0"/>
    <w:rPr>
      <w:rFonts w:ascii="仿宋_GB2312" w:hAnsi="Times New Roman" w:eastAsia="仿宋_GB2312" w:cs="Times New Roman"/>
      <w:sz w:val="28"/>
    </w:rPr>
  </w:style>
  <w:style w:type="paragraph" w:customStyle="1" w:styleId="229">
    <w:name w:val="目录 21"/>
    <w:basedOn w:val="1"/>
    <w:next w:val="1"/>
    <w:unhideWhenUsed/>
    <w:qFormat/>
    <w:uiPriority w:val="39"/>
    <w:pPr>
      <w:ind w:left="420"/>
      <w:jc w:val="left"/>
    </w:pPr>
    <w:rPr>
      <w:rFonts w:ascii="宋体" w:hAnsi="宋体" w:cs="宋体"/>
      <w:sz w:val="22"/>
      <w:szCs w:val="22"/>
      <w:lang w:val="zh-CN" w:bidi="zh-CN"/>
    </w:rPr>
  </w:style>
  <w:style w:type="paragraph" w:customStyle="1" w:styleId="230">
    <w:name w:val="正文文本 21"/>
    <w:basedOn w:val="1"/>
    <w:qFormat/>
    <w:uiPriority w:val="0"/>
    <w:pPr>
      <w:widowControl/>
      <w:jc w:val="center"/>
    </w:pPr>
    <w:rPr>
      <w:rFonts w:ascii="楷体_GB2312" w:eastAsia="楷体_GB2312"/>
      <w:sz w:val="28"/>
      <w:szCs w:val="28"/>
    </w:rPr>
  </w:style>
  <w:style w:type="paragraph" w:customStyle="1" w:styleId="231">
    <w:name w:val="普通(网站)1"/>
    <w:basedOn w:val="1"/>
    <w:unhideWhenUsed/>
    <w:qFormat/>
    <w:uiPriority w:val="0"/>
    <w:pPr>
      <w:spacing w:before="100" w:beforeAutospacing="1" w:after="100" w:afterAutospacing="1"/>
      <w:jc w:val="left"/>
    </w:pPr>
    <w:rPr>
      <w:rFonts w:ascii="宋体" w:hAnsi="宋体" w:cs="宋体"/>
      <w:sz w:val="22"/>
      <w:szCs w:val="22"/>
      <w:lang w:val="zh-CN" w:bidi="zh-CN"/>
    </w:rPr>
  </w:style>
  <w:style w:type="paragraph" w:customStyle="1" w:styleId="232">
    <w:name w:val="标题1"/>
    <w:basedOn w:val="1"/>
    <w:next w:val="1"/>
    <w:link w:val="233"/>
    <w:qFormat/>
    <w:uiPriority w:val="1"/>
    <w:pPr>
      <w:spacing w:before="160"/>
      <w:ind w:left="549" w:right="550"/>
      <w:jc w:val="center"/>
    </w:pPr>
    <w:rPr>
      <w:rFonts w:ascii="黑体" w:hAnsi="黑体" w:eastAsia="黑体" w:cs="黑体"/>
      <w:sz w:val="76"/>
      <w:szCs w:val="76"/>
      <w:lang w:val="zh-CN" w:bidi="zh-CN"/>
    </w:rPr>
  </w:style>
  <w:style w:type="character" w:customStyle="1" w:styleId="233">
    <w:name w:val="标题 字符"/>
    <w:link w:val="232"/>
    <w:qFormat/>
    <w:uiPriority w:val="1"/>
    <w:rPr>
      <w:rFonts w:ascii="黑体" w:hAnsi="黑体" w:eastAsia="黑体" w:cs="黑体"/>
      <w:sz w:val="76"/>
      <w:szCs w:val="76"/>
      <w:lang w:val="zh-CN" w:bidi="zh-CN"/>
    </w:rPr>
  </w:style>
  <w:style w:type="paragraph" w:customStyle="1" w:styleId="234">
    <w:name w:val="批注主题1"/>
    <w:basedOn w:val="206"/>
    <w:next w:val="206"/>
    <w:link w:val="235"/>
    <w:unhideWhenUsed/>
    <w:qFormat/>
    <w:uiPriority w:val="0"/>
    <w:rPr>
      <w:rFonts w:ascii="宋体" w:hAnsi="宋体" w:cs="宋体"/>
      <w:b/>
      <w:bCs/>
      <w:sz w:val="22"/>
      <w:szCs w:val="22"/>
      <w:lang w:val="zh-CN" w:bidi="zh-CN"/>
    </w:rPr>
  </w:style>
  <w:style w:type="character" w:customStyle="1" w:styleId="235">
    <w:name w:val="批注主题 字符"/>
    <w:link w:val="234"/>
    <w:qFormat/>
    <w:uiPriority w:val="0"/>
    <w:rPr>
      <w:rFonts w:ascii="宋体" w:hAnsi="宋体" w:cs="Times New Roman"/>
      <w:b/>
      <w:bCs/>
      <w:sz w:val="22"/>
      <w:szCs w:val="22"/>
      <w:lang w:val="zh-CN" w:bidi="zh-CN"/>
    </w:rPr>
  </w:style>
  <w:style w:type="paragraph" w:customStyle="1" w:styleId="236">
    <w:name w:val="正文首行缩进11"/>
    <w:basedOn w:val="208"/>
    <w:link w:val="237"/>
    <w:unhideWhenUsed/>
    <w:qFormat/>
    <w:uiPriority w:val="0"/>
    <w:pPr>
      <w:ind w:left="696" w:firstLine="420"/>
      <w:jc w:val="left"/>
    </w:pPr>
    <w:rPr>
      <w:rFonts w:ascii="宋体" w:hAnsi="宋体" w:eastAsia="宋体" w:cs="宋体"/>
      <w:szCs w:val="21"/>
      <w:lang w:val="zh-CN" w:bidi="zh-CN"/>
    </w:rPr>
  </w:style>
  <w:style w:type="character" w:customStyle="1" w:styleId="237">
    <w:name w:val="正文文本首行缩进 字符"/>
    <w:link w:val="236"/>
    <w:qFormat/>
    <w:uiPriority w:val="0"/>
    <w:rPr>
      <w:rFonts w:ascii="宋体" w:hAnsi="宋体" w:eastAsia="仿宋_GB2312" w:cs="Times New Roman"/>
      <w:sz w:val="21"/>
      <w:szCs w:val="21"/>
      <w:lang w:val="zh-CN" w:bidi="zh-CN"/>
    </w:rPr>
  </w:style>
  <w:style w:type="paragraph" w:customStyle="1" w:styleId="238">
    <w:name w:val="正文首行缩进 21"/>
    <w:basedOn w:val="210"/>
    <w:next w:val="1"/>
    <w:link w:val="239"/>
    <w:qFormat/>
    <w:uiPriority w:val="99"/>
    <w:pPr>
      <w:spacing w:after="0" w:line="360" w:lineRule="auto"/>
      <w:ind w:left="0" w:firstLine="420"/>
    </w:pPr>
    <w:rPr>
      <w:rFonts w:ascii="宋体" w:hAnsi="宋体"/>
      <w:sz w:val="20"/>
    </w:rPr>
  </w:style>
  <w:style w:type="character" w:customStyle="1" w:styleId="239">
    <w:name w:val="正文文本首行缩进 2 字符"/>
    <w:link w:val="238"/>
    <w:qFormat/>
    <w:uiPriority w:val="99"/>
    <w:rPr>
      <w:rFonts w:ascii="宋体" w:hAnsi="宋体" w:cs="Times New Roman"/>
      <w:szCs w:val="24"/>
    </w:rPr>
  </w:style>
  <w:style w:type="table" w:customStyle="1" w:styleId="240">
    <w:name w:val="网格型1"/>
    <w:basedOn w:val="197"/>
    <w:qFormat/>
    <w:uiPriority w:val="0"/>
    <w:pPr>
      <w:widowControl w:val="0"/>
      <w:jc w:val="both"/>
    </w:pPr>
    <w:rPr>
      <w:rFonts w:ascii="Times New Roman" w:hAnsi="Times New Roman" w:cs="Times New Roman"/>
    </w:rPr>
  </w:style>
  <w:style w:type="character" w:customStyle="1" w:styleId="241">
    <w:name w:val="页码1"/>
    <w:basedOn w:val="196"/>
    <w:link w:val="1"/>
    <w:qFormat/>
    <w:uiPriority w:val="0"/>
  </w:style>
  <w:style w:type="character" w:customStyle="1" w:styleId="242">
    <w:name w:val="强调1"/>
    <w:link w:val="1"/>
    <w:qFormat/>
    <w:uiPriority w:val="0"/>
    <w:rPr>
      <w:i/>
    </w:rPr>
  </w:style>
  <w:style w:type="character" w:customStyle="1" w:styleId="243">
    <w:name w:val="超链接1"/>
    <w:link w:val="1"/>
    <w:unhideWhenUsed/>
    <w:qFormat/>
    <w:uiPriority w:val="99"/>
    <w:rPr>
      <w:color w:val="0000FF"/>
      <w:u w:val="single"/>
    </w:rPr>
  </w:style>
  <w:style w:type="character" w:customStyle="1" w:styleId="244">
    <w:name w:val="批注引用1"/>
    <w:link w:val="1"/>
    <w:unhideWhenUsed/>
    <w:qFormat/>
    <w:uiPriority w:val="0"/>
    <w:rPr>
      <w:sz w:val="21"/>
      <w:szCs w:val="21"/>
    </w:rPr>
  </w:style>
  <w:style w:type="character" w:customStyle="1" w:styleId="245">
    <w:name w:val="NormalCharacter1"/>
    <w:link w:val="1"/>
    <w:qFormat/>
    <w:uiPriority w:val="0"/>
  </w:style>
  <w:style w:type="character" w:customStyle="1" w:styleId="246">
    <w:name w:val="rvts12"/>
    <w:link w:val="1"/>
    <w:qFormat/>
    <w:uiPriority w:val="0"/>
    <w:rPr>
      <w:rFonts w:ascii="KNLe" w:hAnsi="KNLe"/>
      <w:color w:val="000000"/>
      <w:sz w:val="24"/>
      <w:szCs w:val="24"/>
    </w:rPr>
  </w:style>
  <w:style w:type="character" w:customStyle="1" w:styleId="247">
    <w:name w:val="15"/>
    <w:link w:val="1"/>
    <w:qFormat/>
    <w:uiPriority w:val="0"/>
    <w:rPr>
      <w:rFonts w:ascii="Times New Roman" w:hAnsi="Times New Roman" w:cs="Times New Roman"/>
      <w:color w:val="464445"/>
      <w:u w:val="none"/>
    </w:rPr>
  </w:style>
  <w:style w:type="character" w:customStyle="1" w:styleId="248">
    <w:name w:val="批注文字 字符"/>
    <w:link w:val="1"/>
    <w:qFormat/>
    <w:uiPriority w:val="0"/>
    <w:rPr>
      <w:rFonts w:ascii="宋体" w:hAnsi="宋体" w:cs="宋体"/>
      <w:sz w:val="22"/>
      <w:szCs w:val="22"/>
      <w:lang w:val="zh-CN" w:bidi="zh-CN"/>
    </w:rPr>
  </w:style>
  <w:style w:type="character" w:customStyle="1" w:styleId="249">
    <w:name w:val="rvts33"/>
    <w:link w:val="1"/>
    <w:qFormat/>
    <w:uiPriority w:val="0"/>
    <w:rPr>
      <w:rFonts w:ascii="KNLe" w:hAnsi="KNLe"/>
      <w:color w:val="000000"/>
      <w:sz w:val="24"/>
      <w:szCs w:val="24"/>
    </w:rPr>
  </w:style>
  <w:style w:type="character" w:customStyle="1" w:styleId="250">
    <w:name w:val="正文文本 字符"/>
    <w:link w:val="1"/>
    <w:qFormat/>
    <w:uiPriority w:val="1"/>
    <w:rPr>
      <w:rFonts w:ascii="宋体" w:hAnsi="宋体" w:cs="宋体"/>
      <w:sz w:val="21"/>
      <w:szCs w:val="21"/>
      <w:lang w:val="zh-CN" w:bidi="zh-CN"/>
    </w:rPr>
  </w:style>
  <w:style w:type="paragraph" w:customStyle="1" w:styleId="251">
    <w:name w:val="Table Paragraph"/>
    <w:basedOn w:val="1"/>
    <w:qFormat/>
    <w:uiPriority w:val="1"/>
    <w:pPr>
      <w:jc w:val="left"/>
    </w:pPr>
    <w:rPr>
      <w:rFonts w:ascii="宋体" w:hAnsi="宋体" w:cs="宋体"/>
      <w:sz w:val="22"/>
      <w:szCs w:val="22"/>
      <w:lang w:val="zh-CN" w:bidi="zh-CN"/>
    </w:rPr>
  </w:style>
  <w:style w:type="paragraph" w:customStyle="1" w:styleId="252">
    <w:name w:val="正文_0"/>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253">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254">
    <w:name w:val="Body Text Indent1"/>
    <w:basedOn w:val="1"/>
    <w:next w:val="1"/>
    <w:qFormat/>
    <w:uiPriority w:val="0"/>
    <w:pPr>
      <w:widowControl/>
      <w:ind w:firstLine="420"/>
      <w:jc w:val="left"/>
    </w:pPr>
    <w:rPr>
      <w:rFonts w:ascii="宋体" w:hAnsi="宋体"/>
      <w:color w:val="000000"/>
      <w:sz w:val="20"/>
      <w:szCs w:val="20"/>
    </w:rPr>
  </w:style>
  <w:style w:type="paragraph" w:customStyle="1" w:styleId="255">
    <w:name w:val="我的标题2"/>
    <w:basedOn w:val="256"/>
    <w:next w:val="256"/>
    <w:qFormat/>
    <w:uiPriority w:val="0"/>
    <w:pPr>
      <w:keepNext/>
      <w:pageBreakBefore/>
      <w:tabs>
        <w:tab w:val="left" w:pos="420"/>
        <w:tab w:val="left" w:pos="527"/>
      </w:tabs>
      <w:spacing w:line="240" w:lineRule="auto"/>
      <w:ind w:left="420" w:hanging="420"/>
      <w:outlineLvl w:val="1"/>
    </w:pPr>
    <w:rPr>
      <w:rFonts w:ascii="Arial Unicode MS" w:hAnsi="Arial" w:eastAsia="Arial Unicode MS"/>
      <w:b/>
      <w:sz w:val="36"/>
      <w:szCs w:val="18"/>
    </w:rPr>
  </w:style>
  <w:style w:type="paragraph" w:customStyle="1" w:styleId="256">
    <w:name w:val="我的正文"/>
    <w:basedOn w:val="1"/>
    <w:qFormat/>
    <w:uiPriority w:val="0"/>
    <w:pPr>
      <w:widowControl/>
      <w:spacing w:line="360" w:lineRule="auto"/>
      <w:ind w:firstLine="420"/>
      <w:jc w:val="left"/>
    </w:pPr>
    <w:rPr>
      <w:rFonts w:ascii="宋体" w:hAnsi="宋体"/>
      <w:sz w:val="20"/>
      <w:szCs w:val="21"/>
    </w:rPr>
  </w:style>
  <w:style w:type="paragraph" w:customStyle="1" w:styleId="257">
    <w:name w:val="Body Text First Indent 21"/>
    <w:basedOn w:val="254"/>
    <w:qFormat/>
    <w:uiPriority w:val="0"/>
  </w:style>
  <w:style w:type="paragraph" w:customStyle="1" w:styleId="258">
    <w:name w:val="Blockquote"/>
    <w:qFormat/>
    <w:uiPriority w:val="99"/>
    <w:pPr>
      <w:widowControl w:val="0"/>
      <w:spacing w:before="100" w:after="100"/>
      <w:ind w:left="360" w:right="360"/>
    </w:pPr>
    <w:rPr>
      <w:rFonts w:hint="default" w:ascii="Times New Roman" w:hAnsi="Times New Roman" w:eastAsia="宋体" w:cs="Times New Roman"/>
      <w:sz w:val="24"/>
      <w:lang w:val="en-US" w:eastAsia="zh-CN" w:bidi="ar-SA"/>
    </w:rPr>
  </w:style>
  <w:style w:type="paragraph" w:customStyle="1" w:styleId="259">
    <w:name w:val="p0"/>
    <w:basedOn w:val="1"/>
    <w:qFormat/>
    <w:uiPriority w:val="0"/>
    <w:pPr>
      <w:widowControl/>
      <w:jc w:val="left"/>
    </w:pPr>
    <w:rPr>
      <w:rFonts w:ascii="Times New Roman" w:hAnsi="Times New Roman"/>
      <w:sz w:val="22"/>
      <w:szCs w:val="21"/>
      <w:lang w:val="zh-CN" w:bidi="zh-CN"/>
    </w:rPr>
  </w:style>
  <w:style w:type="paragraph" w:customStyle="1" w:styleId="260">
    <w:name w:val="无列表1"/>
    <w:semiHidden/>
    <w:qFormat/>
    <w:uiPriority w:val="0"/>
    <w:rPr>
      <w:rFonts w:hint="default" w:ascii="Times New Roman" w:hAnsi="Times New Roman" w:eastAsia="宋体" w:cs="Times New Roman"/>
      <w:sz w:val="21"/>
      <w:szCs w:val="22"/>
      <w:lang w:val="en-US" w:eastAsia="zh-CN" w:bidi="ar-SA"/>
    </w:rPr>
  </w:style>
  <w:style w:type="paragraph" w:customStyle="1" w:styleId="261">
    <w:name w:val="列表段落1"/>
    <w:basedOn w:val="1"/>
    <w:qFormat/>
    <w:uiPriority w:val="34"/>
    <w:pPr>
      <w:widowControl/>
      <w:ind w:firstLine="420"/>
      <w:jc w:val="left"/>
    </w:pPr>
    <w:rPr>
      <w:rFonts w:ascii="Times New Roman" w:hAnsi="Times New Roman"/>
      <w:sz w:val="20"/>
      <w:szCs w:val="22"/>
    </w:rPr>
  </w:style>
  <w:style w:type="paragraph" w:customStyle="1" w:styleId="262">
    <w:name w:val="一级条标题"/>
    <w:next w:val="253"/>
    <w:qFormat/>
    <w:uiPriority w:val="0"/>
    <w:pPr>
      <w:outlineLvl w:val="2"/>
    </w:pPr>
    <w:rPr>
      <w:rFonts w:hint="default" w:ascii="Times New Roman" w:hAnsi="Times New Roman" w:eastAsia="黑体" w:cs="Times New Roman"/>
      <w:sz w:val="21"/>
      <w:lang w:val="en-US" w:eastAsia="zh-CN" w:bidi="ar-SA"/>
    </w:rPr>
  </w:style>
  <w:style w:type="paragraph" w:customStyle="1" w:styleId="263">
    <w:name w:val="zhang"/>
    <w:basedOn w:val="1"/>
    <w:qFormat/>
    <w:uiPriority w:val="0"/>
    <w:pPr>
      <w:spacing w:before="100" w:beforeAutospacing="1" w:after="100" w:afterAutospacing="1"/>
      <w:jc w:val="left"/>
    </w:pPr>
    <w:rPr>
      <w:rFonts w:ascii="宋体" w:hAnsi="宋体" w:cs="宋体"/>
      <w:b/>
      <w:bCs/>
      <w:smallCaps/>
      <w:color w:val="000000"/>
      <w:sz w:val="20"/>
      <w:szCs w:val="20"/>
      <w:lang w:val="zh-CN" w:bidi="zh-CN"/>
    </w:rPr>
  </w:style>
  <w:style w:type="paragraph" w:customStyle="1" w:styleId="264">
    <w:name w:val="Table Text"/>
    <w:basedOn w:val="1"/>
    <w:semiHidden/>
    <w:qFormat/>
    <w:uiPriority w:val="0"/>
    <w:rPr>
      <w:rFonts w:ascii="宋体" w:hAnsi="宋体" w:eastAsia="宋体" w:cs="宋体"/>
      <w:sz w:val="28"/>
      <w:szCs w:val="28"/>
      <w:lang w:val="en-US" w:eastAsia="en-US" w:bidi="ar-SA"/>
    </w:rPr>
  </w:style>
  <w:style w:type="paragraph" w:customStyle="1" w:styleId="265">
    <w:name w:val="正文1"/>
    <w:next w:val="1"/>
    <w:qFormat/>
    <w:uiPriority w:val="0"/>
    <w:pPr>
      <w:jc w:val="both"/>
    </w:pPr>
    <w:rPr>
      <w:rFonts w:hint="default" w:ascii="等线" w:hAnsi="等线" w:eastAsia="宋体" w:cs="Times New Roman"/>
      <w:sz w:val="21"/>
      <w:szCs w:val="21"/>
      <w:lang w:val="en-US" w:eastAsia="zh-CN" w:bidi="ar-SA"/>
    </w:rPr>
  </w:style>
  <w:style w:type="paragraph" w:customStyle="1" w:styleId="266">
    <w:name w:val="正文首缩两字"/>
    <w:basedOn w:val="1"/>
    <w:qFormat/>
    <w:uiPriority w:val="0"/>
    <w:pPr>
      <w:spacing w:line="360" w:lineRule="auto"/>
      <w:ind w:left="210" w:right="210" w:firstLine="480"/>
      <w:jc w:val="left"/>
    </w:pPr>
    <w:rPr>
      <w:rFonts w:ascii="宋体" w:hAnsi="宋体" w:eastAsia="仿宋_GB2312"/>
      <w:sz w:val="24"/>
      <w:szCs w:val="24"/>
    </w:rPr>
  </w:style>
  <w:style w:type="paragraph" w:customStyle="1" w:styleId="267">
    <w:name w:val="图例"/>
    <w:basedOn w:val="1"/>
    <w:qFormat/>
    <w:uiPriority w:val="0"/>
    <w:pPr>
      <w:spacing w:before="120" w:after="120" w:line="360" w:lineRule="auto"/>
      <w:jc w:val="center"/>
    </w:pPr>
    <w:rPr>
      <w:rFonts w:ascii="Times New Roman" w:hAnsi="Times New Roman" w:eastAsia="仿宋_GB2312"/>
      <w:b/>
      <w:sz w:val="24"/>
      <w:szCs w:val="20"/>
    </w:rPr>
  </w:style>
  <w:style w:type="paragraph" w:customStyle="1" w:styleId="268">
    <w:name w:val="WPSOffice手动目录 1"/>
    <w:qFormat/>
    <w:uiPriority w:val="0"/>
    <w:rPr>
      <w:rFonts w:hint="default" w:ascii="Times New Roman" w:hAnsi="Times New Roman" w:eastAsia="宋体" w:cs="Times New Roman"/>
      <w:lang w:val="en-US" w:eastAsia="zh-CN" w:bidi="ar-SA"/>
    </w:rPr>
  </w:style>
  <w:style w:type="paragraph" w:customStyle="1" w:styleId="269">
    <w:name w:val="列表段落"/>
    <w:basedOn w:val="1"/>
    <w:qFormat/>
    <w:uiPriority w:val="0"/>
    <w:pPr>
      <w:ind w:firstLine="420"/>
    </w:pPr>
  </w:style>
  <w:style w:type="paragraph" w:customStyle="1" w:styleId="270">
    <w:name w:val="Default"/>
    <w:qFormat/>
    <w:uiPriority w:val="99"/>
    <w:pPr>
      <w:widowControl w:val="0"/>
    </w:pPr>
    <w:rPr>
      <w:rFonts w:hint="default" w:ascii="宋体" w:hAnsi="Times New Roman" w:eastAsia="宋体" w:cs="Times New Roman"/>
      <w:color w:val="000000"/>
      <w:sz w:val="24"/>
      <w:szCs w:val="24"/>
      <w:lang w:val="en-US" w:eastAsia="zh-CN" w:bidi="ar-SA"/>
    </w:rPr>
  </w:style>
  <w:style w:type="paragraph" w:customStyle="1" w:styleId="271">
    <w:name w:val="TOC 标题1"/>
    <w:basedOn w:val="190"/>
    <w:next w:val="1"/>
    <w:qFormat/>
    <w:uiPriority w:val="39"/>
    <w:pPr>
      <w:keepNext w:val="0"/>
      <w:keepLines w:val="0"/>
      <w:spacing w:before="37" w:after="0"/>
      <w:ind w:left="571"/>
      <w:outlineLvl w:val="9"/>
    </w:pPr>
    <w:rPr>
      <w:rFonts w:eastAsia="黑体" w:cs="黑体"/>
      <w:b w:val="0"/>
      <w:sz w:val="36"/>
      <w:szCs w:val="36"/>
      <w:lang w:val="zh-CN" w:bidi="zh-CN"/>
    </w:rPr>
  </w:style>
  <w:style w:type="paragraph" w:customStyle="1" w:styleId="272">
    <w:name w:val="[基本段落]"/>
    <w:basedOn w:val="1"/>
    <w:qFormat/>
    <w:uiPriority w:val="99"/>
    <w:pPr>
      <w:spacing w:line="288" w:lineRule="auto"/>
      <w:jc w:val="left"/>
    </w:pPr>
    <w:rPr>
      <w:rFonts w:ascii="AdobeSongStd-Light" w:hAnsi="宋体" w:eastAsia="AdobeSongStd-Light" w:cs="AdobeSongStd-Light"/>
      <w:color w:val="000000"/>
      <w:sz w:val="24"/>
      <w:lang w:val="zh-CN" w:bidi="zh-CN"/>
    </w:rPr>
  </w:style>
  <w:style w:type="paragraph" w:customStyle="1" w:styleId="273">
    <w:name w:val="List Paragraph1"/>
    <w:basedOn w:val="1"/>
    <w:qFormat/>
    <w:uiPriority w:val="0"/>
    <w:pPr>
      <w:widowControl/>
      <w:ind w:left="720"/>
      <w:jc w:val="left"/>
    </w:pPr>
    <w:rPr>
      <w:rFonts w:ascii="Arial" w:hAnsi="Arial" w:eastAsia="黑体" w:cs="宋体"/>
      <w:sz w:val="24"/>
      <w:szCs w:val="22"/>
      <w:lang w:val="zh-CN" w:eastAsia="en-US" w:bidi="zh-CN"/>
    </w:rPr>
  </w:style>
  <w:style w:type="paragraph" w:customStyle="1" w:styleId="274">
    <w:name w:val="样式 标题 2 + Times New Roman 四号 非加粗 段前: 5 磅 段后: 0 磅 行距: 固定值 20..."/>
    <w:qFormat/>
    <w:uiPriority w:val="0"/>
    <w:pPr>
      <w:keepNext/>
      <w:keepLines/>
      <w:widowControl w:val="0"/>
      <w:spacing w:before="100" w:line="400" w:lineRule="exact"/>
      <w:jc w:val="both"/>
      <w:outlineLvl w:val="1"/>
    </w:pPr>
    <w:rPr>
      <w:rFonts w:hint="default" w:ascii="Times New Roman" w:hAnsi="Times New Roman" w:eastAsia="黑体" w:cs="Times New Roman"/>
      <w:sz w:val="28"/>
      <w:lang w:val="en-US" w:eastAsia="zh-CN" w:bidi="ar-SA"/>
    </w:rPr>
  </w:style>
  <w:style w:type="paragraph" w:customStyle="1" w:styleId="275">
    <w:name w:val="首行缩进"/>
    <w:basedOn w:val="1"/>
    <w:qFormat/>
    <w:uiPriority w:val="0"/>
    <w:pPr>
      <w:spacing w:line="360" w:lineRule="auto"/>
      <w:ind w:firstLine="420"/>
    </w:pPr>
    <w:rPr>
      <w:sz w:val="20"/>
    </w:rPr>
  </w:style>
  <w:style w:type="paragraph" w:customStyle="1" w:styleId="276">
    <w:name w:val="标题 2_0"/>
    <w:basedOn w:val="252"/>
    <w:next w:val="252"/>
    <w:qFormat/>
    <w:uiPriority w:val="9"/>
    <w:pPr>
      <w:keepNext/>
      <w:spacing w:before="240" w:after="60"/>
      <w:outlineLvl w:val="1"/>
    </w:pPr>
    <w:rPr>
      <w:rFonts w:ascii="Cambria" w:hAnsi="Cambria"/>
      <w:b/>
      <w:bCs/>
      <w:iCs/>
      <w:szCs w:val="28"/>
    </w:rPr>
  </w:style>
  <w:style w:type="paragraph" w:customStyle="1" w:styleId="277">
    <w:name w:val="样式2"/>
    <w:basedOn w:val="276"/>
    <w:next w:val="255"/>
    <w:qFormat/>
    <w:uiPriority w:val="0"/>
    <w:pPr>
      <w:spacing w:line="360" w:lineRule="auto"/>
      <w:ind w:left="200"/>
      <w:jc w:val="center"/>
    </w:pPr>
    <w:rPr>
      <w:rFonts w:ascii="宋体" w:hAnsi="宋体"/>
      <w:i/>
      <w:sz w:val="24"/>
      <w:szCs w:val="24"/>
    </w:rPr>
  </w:style>
  <w:style w:type="paragraph" w:customStyle="1" w:styleId="278">
    <w:name w:val="Body Text Indent2"/>
    <w:basedOn w:val="1"/>
    <w:next w:val="257"/>
    <w:qFormat/>
    <w:uiPriority w:val="0"/>
    <w:pPr>
      <w:widowControl/>
      <w:spacing w:line="500" w:lineRule="exact"/>
      <w:ind w:firstLine="880"/>
      <w:jc w:val="left"/>
    </w:pPr>
    <w:rPr>
      <w:rFonts w:ascii="Times New Roman" w:hAnsi="Times New Roman"/>
      <w:sz w:val="20"/>
      <w:szCs w:val="20"/>
    </w:rPr>
  </w:style>
  <w:style w:type="paragraph" w:customStyle="1" w:styleId="279">
    <w:name w:val="Body Text First Indent 22"/>
    <w:basedOn w:val="278"/>
    <w:qFormat/>
    <w:uiPriority w:val="0"/>
    <w:pPr>
      <w:ind w:firstLine="420"/>
    </w:pPr>
  </w:style>
  <w:style w:type="paragraph" w:customStyle="1" w:styleId="280">
    <w:name w:val="Heading21"/>
    <w:basedOn w:val="1"/>
    <w:next w:val="1"/>
    <w:qFormat/>
    <w:uiPriority w:val="0"/>
    <w:pPr>
      <w:keepNext/>
      <w:keepLines/>
      <w:jc w:val="left"/>
    </w:pPr>
    <w:rPr>
      <w:rFonts w:ascii="Arial" w:hAnsi="Arial" w:cs="宋体"/>
      <w:sz w:val="28"/>
      <w:lang w:val="zh-CN" w:bidi="zh-CN"/>
    </w:rPr>
  </w:style>
  <w:style w:type="paragraph" w:customStyle="1" w:styleId="281">
    <w:name w:val="章正文"/>
    <w:basedOn w:val="1"/>
    <w:qFormat/>
    <w:uiPriority w:val="0"/>
    <w:pPr>
      <w:spacing w:after="120" w:line="300" w:lineRule="auto"/>
      <w:ind w:firstLine="480"/>
      <w:jc w:val="left"/>
    </w:pPr>
    <w:rPr>
      <w:rFonts w:ascii="Helvetica" w:hAnsi="Helvetica" w:cs="宋体"/>
      <w:sz w:val="22"/>
      <w:szCs w:val="22"/>
      <w:lang w:val="zh-CN" w:bidi="zh-CN"/>
    </w:rPr>
  </w:style>
  <w:style w:type="paragraph" w:customStyle="1" w:styleId="282">
    <w:name w:val="标题 10"/>
    <w:basedOn w:val="191"/>
    <w:qFormat/>
    <w:uiPriority w:val="0"/>
    <w:pPr>
      <w:spacing w:before="280" w:after="290" w:line="377" w:lineRule="auto"/>
      <w:jc w:val="center"/>
    </w:pPr>
    <w:rPr>
      <w:rFonts w:ascii="方正黑体简体" w:hAnsi="Times New Roman" w:eastAsia="方正黑体简体"/>
      <w:sz w:val="28"/>
      <w:szCs w:val="28"/>
    </w:rPr>
  </w:style>
  <w:style w:type="paragraph" w:customStyle="1" w:styleId="283">
    <w:name w:val="标题 55"/>
    <w:basedOn w:val="194"/>
    <w:qFormat/>
    <w:uiPriority w:val="0"/>
    <w:pPr>
      <w:tabs>
        <w:tab w:val="clear" w:pos="1008"/>
      </w:tabs>
      <w:spacing w:line="376" w:lineRule="auto"/>
      <w:ind w:left="0" w:firstLine="0"/>
    </w:pPr>
    <w:rPr>
      <w:rFonts w:ascii="方正黑体简体" w:hAnsi="Times New Roman" w:eastAsia="方正黑体简体"/>
      <w:b w:val="0"/>
      <w:szCs w:val="28"/>
    </w:rPr>
  </w:style>
  <w:style w:type="paragraph" w:customStyle="1" w:styleId="284">
    <w:name w:val="正文00"/>
    <w:basedOn w:val="1"/>
    <w:qFormat/>
    <w:uiPriority w:val="0"/>
    <w:pPr>
      <w:spacing w:line="360" w:lineRule="auto"/>
      <w:ind w:firstLine="200"/>
    </w:pPr>
    <w:rPr>
      <w:rFonts w:ascii="Times New Roman" w:hAnsi="Times New Roman"/>
      <w:szCs w:val="21"/>
    </w:rPr>
  </w:style>
  <w:style w:type="paragraph" w:customStyle="1" w:styleId="285">
    <w:name w:val="列出段落1"/>
    <w:basedOn w:val="1"/>
    <w:qFormat/>
    <w:uiPriority w:val="0"/>
    <w:pPr>
      <w:ind w:firstLine="420"/>
    </w:pPr>
    <w:rPr>
      <w:rFonts w:ascii="Times New Roman" w:hAnsi="Times New Roman"/>
      <w:szCs w:val="20"/>
    </w:rPr>
  </w:style>
  <w:style w:type="paragraph" w:customStyle="1" w:styleId="286">
    <w:name w:val="正文首行缩进1"/>
    <w:basedOn w:val="287"/>
    <w:next w:val="288"/>
    <w:qFormat/>
    <w:uiPriority w:val="0"/>
    <w:pPr>
      <w:spacing w:after="120" w:line="360" w:lineRule="auto"/>
      <w:ind w:firstLine="420"/>
    </w:pPr>
    <w:rPr>
      <w:rFonts w:ascii="宋体" w:hAnsi="宋体" w:eastAsia="宋体" w:cs="Lucida Sans"/>
      <w:lang w:val="zh-CN"/>
    </w:rPr>
  </w:style>
  <w:style w:type="paragraph" w:customStyle="1" w:styleId="287">
    <w:name w:val="正文文本1"/>
    <w:basedOn w:val="1"/>
    <w:next w:val="1"/>
    <w:qFormat/>
    <w:uiPriority w:val="1"/>
    <w:pPr>
      <w:spacing w:before="34"/>
      <w:ind w:left="118"/>
    </w:pPr>
    <w:rPr>
      <w:rFonts w:ascii="宋体" w:hAnsi="宋体" w:eastAsia="宋体"/>
      <w:sz w:val="24"/>
      <w:szCs w:val="24"/>
      <w:lang w:val="en-US"/>
    </w:rPr>
  </w:style>
  <w:style w:type="paragraph" w:customStyle="1" w:styleId="288">
    <w:name w:val="列表1"/>
    <w:basedOn w:val="1"/>
    <w:qFormat/>
    <w:uiPriority w:val="0"/>
    <w:pPr>
      <w:ind w:left="200" w:hanging="200"/>
      <w:contextualSpacing/>
    </w:pPr>
    <w:rPr>
      <w:rFonts w:ascii="Times New Roman" w:hAnsi="Times New Roman"/>
    </w:rPr>
  </w:style>
  <w:style w:type="paragraph" w:customStyle="1" w:styleId="289">
    <w:name w:val="修订1"/>
    <w:semiHidden/>
    <w:qFormat/>
    <w:uiPriority w:val="99"/>
    <w:rPr>
      <w:rFonts w:hint="default" w:ascii="Times New Roman" w:hAnsi="Times New Roman" w:eastAsia="宋体" w:cs="Times New Roman"/>
      <w:sz w:val="21"/>
      <w:szCs w:val="24"/>
      <w:lang w:val="en-US" w:eastAsia="zh-CN" w:bidi="ar-SA"/>
    </w:rPr>
  </w:style>
  <w:style w:type="table" w:customStyle="1" w:styleId="290">
    <w:name w:val="Table Normal"/>
    <w:unhideWhenUsed/>
    <w:qFormat/>
    <w:uiPriority w:val="2"/>
    <w:rPr>
      <w:lang w:val="en-US" w:eastAsia="zh-CN" w:bidi="ar-SA"/>
    </w:rPr>
  </w:style>
  <w:style w:type="paragraph" w:customStyle="1" w:styleId="291">
    <w:name w:val="文件正文"/>
    <w:basedOn w:val="1"/>
    <w:qFormat/>
    <w:uiPriority w:val="0"/>
    <w:pPr>
      <w:spacing w:line="360" w:lineRule="auto"/>
      <w:ind w:firstLine="560"/>
      <w:jc w:val="both"/>
    </w:pPr>
    <w:rPr>
      <w:rFonts w:ascii="仿宋_GB2312" w:eastAsia="仿宋_GB2312" w:cs="宋体"/>
      <w:sz w:val="28"/>
      <w:szCs w:val="28"/>
    </w:rPr>
  </w:style>
  <w:style w:type="character" w:customStyle="1" w:styleId="292">
    <w:name w:val="font01"/>
    <w:basedOn w:val="196"/>
    <w:link w:val="1"/>
    <w:qFormat/>
    <w:uiPriority w:val="0"/>
    <w:rPr>
      <w:rFonts w:hint="eastAsia" w:ascii="宋体" w:hAnsi="宋体" w:eastAsia="宋体" w:cs="宋体"/>
      <w:color w:val="000000"/>
      <w:sz w:val="18"/>
      <w:szCs w:val="18"/>
      <w:u w:val="none"/>
    </w:rPr>
  </w:style>
  <w:style w:type="character" w:customStyle="1" w:styleId="293">
    <w:name w:val="font51"/>
    <w:basedOn w:val="196"/>
    <w:link w:val="1"/>
    <w:qFormat/>
    <w:uiPriority w:val="0"/>
    <w:rPr>
      <w:rFonts w:hint="eastAsia" w:ascii="宋体" w:hAnsi="宋体" w:eastAsia="宋体" w:cs="宋体"/>
      <w:color w:val="FF0000"/>
      <w:sz w:val="18"/>
      <w:szCs w:val="18"/>
      <w:u w:val="none"/>
    </w:rPr>
  </w:style>
  <w:style w:type="character" w:customStyle="1" w:styleId="294">
    <w:name w:val="font61"/>
    <w:basedOn w:val="196"/>
    <w:link w:val="1"/>
    <w:qFormat/>
    <w:uiPriority w:val="0"/>
    <w:rPr>
      <w:rFonts w:ascii="Times New Roman" w:hAnsi="Times New Roman" w:cs="Times New Roman"/>
      <w:color w:val="FF0000"/>
      <w:sz w:val="18"/>
      <w:szCs w:val="18"/>
      <w:u w:val="none"/>
    </w:rPr>
  </w:style>
  <w:style w:type="character" w:customStyle="1" w:styleId="295">
    <w:name w:val="rvts15"/>
    <w:link w:val="1"/>
    <w:qFormat/>
    <w:uiPriority w:val="0"/>
    <w:rPr>
      <w:rFonts w:ascii="KNLe" w:hAnsi="KNLe"/>
      <w:b/>
      <w:bCs/>
      <w:color w:val="000000"/>
      <w:sz w:val="24"/>
      <w:szCs w:val="24"/>
    </w:rPr>
  </w:style>
  <w:style w:type="character" w:customStyle="1" w:styleId="296">
    <w:name w:val="批注框文本 Char"/>
    <w:link w:val="1"/>
    <w:semiHidden/>
    <w:qFormat/>
    <w:uiPriority w:val="99"/>
    <w:rPr>
      <w:sz w:val="2"/>
    </w:rPr>
  </w:style>
  <w:style w:type="paragraph" w:customStyle="1" w:styleId="297">
    <w:name w:val="正文文本11"/>
    <w:basedOn w:val="1"/>
    <w:next w:val="298"/>
    <w:qFormat/>
    <w:uiPriority w:val="0"/>
    <w:rPr>
      <w:rFonts w:ascii="楷体_GB2312" w:hAnsi="Arial" w:eastAsia="楷体_GB2312"/>
      <w:sz w:val="28"/>
      <w:szCs w:val="28"/>
    </w:rPr>
  </w:style>
  <w:style w:type="paragraph" w:customStyle="1" w:styleId="298">
    <w:name w:val="默认"/>
    <w:qFormat/>
    <w:uiPriority w:val="0"/>
    <w:rPr>
      <w:rFonts w:hint="default" w:ascii="Helvetica" w:hAnsi="Helvetica" w:eastAsia="Helvetica" w:cs="Helvetica"/>
      <w:color w:val="000000"/>
      <w:sz w:val="22"/>
      <w:szCs w:val="22"/>
      <w:lang w:val="en-US" w:eastAsia="zh-CN" w:bidi="ar-SA"/>
    </w:rPr>
  </w:style>
  <w:style w:type="paragraph" w:customStyle="1" w:styleId="299">
    <w:name w:val="p"/>
    <w:qFormat/>
    <w:uiPriority w:val="0"/>
    <w:pPr>
      <w:widowControl/>
      <w:spacing w:before="100" w:beforeAutospacing="1" w:after="100" w:afterAutospacing="1"/>
      <w:jc w:val="left"/>
    </w:pPr>
    <w:rPr>
      <w:rFonts w:hint="default" w:ascii="宋体" w:hAnsi="宋体" w:eastAsia="宋体" w:cs="宋体"/>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Template>
  <Pages>76</Pages>
  <Words>16691</Words>
  <Characters>17426</Characters>
  <TotalTime>18</TotalTime>
  <ScaleCrop>false</ScaleCrop>
  <LinksUpToDate>false</LinksUpToDate>
  <CharactersWithSpaces>17555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2024-08-29T06:19:00Z</dcterms:created>
  <dc:creator>Adminis</dc:creator>
  <cp:lastModifiedBy>月如水</cp:lastModifiedBy>
  <dcterms:modified xsi:type="dcterms:W3CDTF">2025-11-25T04:49:44Z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eyJoZGlkIjoiN2Y5M2VhMWNjNWYwZGI2ZmFiOTgyMzIzNmU2NTU4OTMiLCJ1c2VySWQiOiI3Nzc3NDQ3NDMifQ==</vt:lpwstr>
  </property>
  <property fmtid="{D5CDD505-2E9C-101B-9397-08002B2CF9AE}" pid="3" name="KSOProductBuildVer">
    <vt:lpwstr>2052-12.1.0.23542</vt:lpwstr>
  </property>
  <property fmtid="{D5CDD505-2E9C-101B-9397-08002B2CF9AE}" pid="4" name="ICV">
    <vt:lpwstr>912AC23FF3AF4D67A0FDD74F4DBFE238_13</vt:lpwstr>
  </property>
</Properties>
</file>